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1024" w:leader="none"/>
          <w:tab w:val="center" w:pos="4229" w:leader="none"/>
        </w:tabs>
        <w:spacing w:lineRule="atLeast" w:line="100" w:before="0" w:after="120"/>
        <w:jc w:val="center"/>
        <w:rPr>
          <w:rFonts w:ascii="Arial" w:hAnsi="Arial" w:eastAsia="Arial" w:cs="Arial"/>
          <w:b/>
          <w:sz w:val="26"/>
          <w:szCs w:val="26"/>
        </w:rPr>
      </w:pPr>
      <w:r>
        <w:rPr>
          <w:rFonts w:eastAsia="Arial" w:cs="Arial" w:ascii="Arial" w:hAnsi="Arial"/>
          <w:b/>
          <w:sz w:val="26"/>
          <w:szCs w:val="26"/>
        </w:rPr>
        <w:t>Minutes of FMYCA Management Committee Meeting on 28 May 2026</w:t>
      </w:r>
    </w:p>
    <w:p>
      <w:pPr>
        <w:pStyle w:val="Normal"/>
        <w:bidi w:val="0"/>
        <w:spacing w:lineRule="atLeast" w:line="100" w:before="0" w:after="120"/>
        <w:rPr/>
      </w:pPr>
      <w:r>
        <w:rPr>
          <w:rFonts w:eastAsia="Calibri" w:cs="Arial" w:ascii="Arial" w:hAnsi="Arial"/>
          <w:b/>
        </w:rPr>
        <w:t>Present</w:t>
      </w:r>
      <w:r>
        <w:rPr>
          <w:rFonts w:eastAsia="Calibri" w:cs="Arial" w:ascii="Arial" w:hAnsi="Arial"/>
        </w:rPr>
        <w:t xml:space="preserve">: </w:t>
      </w:r>
      <w:r>
        <w:rPr>
          <w:rFonts w:eastAsia="Calibri" w:cs="Arial" w:ascii="Arial" w:hAnsi="Arial"/>
          <w:sz w:val="20"/>
          <w:szCs w:val="20"/>
        </w:rPr>
        <w:t xml:space="preserve">Malcolm Blackwood (Vice Chair), Eric Bulmer, Carol Callum (Assistant Centre Manager &amp; Wellbeing Manager); Barbara Fox, Ken Gates </w:t>
      </w:r>
      <w:bookmarkStart w:id="0" w:name="Bookmark"/>
      <w:r>
        <w:rPr>
          <w:rFonts w:eastAsia="Calibri" w:cs="Arial" w:ascii="Arial" w:hAnsi="Arial"/>
          <w:sz w:val="20"/>
          <w:szCs w:val="20"/>
        </w:rPr>
        <w:t>(Chair)</w:t>
      </w:r>
      <w:bookmarkEnd w:id="0"/>
      <w:r>
        <w:rPr>
          <w:rFonts w:eastAsia="Calibri" w:cs="Arial" w:ascii="Arial" w:hAnsi="Arial"/>
          <w:sz w:val="20"/>
          <w:szCs w:val="20"/>
        </w:rPr>
        <w:t>, Jim Pendrey (Centre Manager), Rachael Perry, Ian Rudd (Treasurer), Peter Sykes (Secretary), Kath Thomson</w:t>
      </w:r>
    </w:p>
    <w:tbl>
      <w:tblPr>
        <w:tblW w:w="10260" w:type="dxa"/>
        <w:jc w:val="left"/>
        <w:tblInd w:w="-367" w:type="dxa"/>
        <w:tblLayout w:type="fixed"/>
        <w:tblCellMar>
          <w:top w:w="0" w:type="dxa"/>
          <w:left w:w="108" w:type="dxa"/>
          <w:bottom w:w="0" w:type="dxa"/>
          <w:right w:w="108" w:type="dxa"/>
        </w:tblCellMar>
        <w:tblLook w:val="04a0" w:firstRow="1" w:noVBand="1" w:lastRow="0" w:firstColumn="1" w:lastColumn="0" w:noHBand="0"/>
      </w:tblPr>
      <w:tblGrid>
        <w:gridCol w:w="1740"/>
        <w:gridCol w:w="7027"/>
        <w:gridCol w:w="1493"/>
      </w:tblGrid>
      <w:tr>
        <w:trPr>
          <w:tblHeader w:val="true"/>
          <w:trHeight w:val="270" w:hRule="atLeast"/>
        </w:trPr>
        <w:tc>
          <w:tcPr>
            <w:tcW w:w="1740" w:type="dxa"/>
            <w:tcBorders>
              <w:bottom w:val="single" w:sz="4" w:space="0" w:color="000000"/>
            </w:tcBorders>
            <w:shd w:color="auto" w:fill="FFFFFF" w:val="clear"/>
          </w:tcPr>
          <w:p>
            <w:pPr>
              <w:pStyle w:val="Normal"/>
              <w:widowControl w:val="false"/>
              <w:snapToGrid w:val="false"/>
              <w:spacing w:lineRule="atLeast" w:line="100" w:before="0" w:after="0"/>
              <w:rPr>
                <w:sz w:val="21"/>
                <w:szCs w:val="21"/>
              </w:rPr>
            </w:pPr>
            <w:r>
              <w:rPr>
                <w:sz w:val="21"/>
                <w:szCs w:val="21"/>
              </w:rPr>
            </w:r>
          </w:p>
        </w:tc>
        <w:tc>
          <w:tcPr>
            <w:tcW w:w="7027" w:type="dxa"/>
            <w:tcBorders>
              <w:bottom w:val="single" w:sz="4" w:space="0" w:color="000000"/>
            </w:tcBorders>
            <w:shd w:color="auto" w:fill="FFFFFF" w:val="clear"/>
          </w:tcPr>
          <w:p>
            <w:pPr>
              <w:pStyle w:val="Normal"/>
              <w:widowControl w:val="false"/>
              <w:snapToGrid w:val="false"/>
              <w:spacing w:lineRule="atLeast" w:line="100" w:before="0" w:after="85"/>
              <w:rPr>
                <w:rFonts w:eastAsia="Calibri" w:cs="Calibri"/>
                <w:sz w:val="21"/>
                <w:szCs w:val="21"/>
              </w:rPr>
            </w:pPr>
            <w:r>
              <w:rPr>
                <w:rFonts w:eastAsia="Calibri" w:cs="Calibri"/>
                <w:sz w:val="21"/>
                <w:szCs w:val="21"/>
              </w:rPr>
            </w:r>
          </w:p>
        </w:tc>
        <w:tc>
          <w:tcPr>
            <w:tcW w:w="1493" w:type="dxa"/>
            <w:tcBorders>
              <w:top w:val="single" w:sz="4" w:space="0" w:color="000000"/>
              <w:left w:val="single" w:sz="4" w:space="0" w:color="000000"/>
              <w:bottom w:val="single" w:sz="4" w:space="0" w:color="000000"/>
              <w:right w:val="single" w:sz="4" w:space="0" w:color="000000"/>
            </w:tcBorders>
            <w:shd w:color="auto" w:fill="D9D9D9" w:val="clear"/>
          </w:tcPr>
          <w:p>
            <w:pPr>
              <w:pStyle w:val="Normal"/>
              <w:widowControl w:val="false"/>
              <w:spacing w:lineRule="atLeast" w:line="100" w:before="0" w:after="0"/>
              <w:jc w:val="center"/>
              <w:rPr>
                <w:rFonts w:ascii="Arial" w:hAnsi="Arial" w:eastAsia="Arial" w:cs="Arial"/>
                <w:b/>
                <w:sz w:val="24"/>
              </w:rPr>
            </w:pPr>
            <w:r>
              <w:rPr>
                <w:rFonts w:eastAsia="Arial" w:cs="Arial" w:ascii="Arial" w:hAnsi="Arial"/>
                <w:b/>
                <w:sz w:val="24"/>
              </w:rPr>
              <w:t>Action</w:t>
            </w:r>
          </w:p>
        </w:tc>
      </w:tr>
      <w:tr>
        <w:trPr>
          <w:trHeight w:val="23"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57" w:after="57"/>
              <w:rPr/>
            </w:pPr>
            <w:r>
              <w:rPr>
                <w:rFonts w:eastAsia="Arial" w:cs="Arial" w:ascii="Arial" w:hAnsi="Arial"/>
                <w:b/>
                <w:sz w:val="21"/>
                <w:szCs w:val="21"/>
              </w:rPr>
              <w:t>1. Welcome &amp; Apologies for absence</w:t>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57" w:after="0"/>
              <w:rPr>
                <w:rFonts w:ascii="Arial" w:hAnsi="Arial" w:eastAsia="Arial" w:cs="Arial"/>
              </w:rPr>
            </w:pPr>
            <w:r>
              <w:rPr>
                <w:rFonts w:eastAsia="Arial" w:cs="Arial" w:ascii="Arial" w:hAnsi="Arial"/>
              </w:rPr>
              <w:t>Trustees were welcomed to the meeting.</w:t>
            </w:r>
          </w:p>
          <w:p>
            <w:pPr>
              <w:pStyle w:val="Normal"/>
              <w:widowControl w:val="false"/>
              <w:bidi w:val="0"/>
              <w:spacing w:lineRule="auto" w:line="240" w:before="57" w:after="57"/>
              <w:rPr>
                <w:rFonts w:ascii="Arial" w:hAnsi="Arial" w:eastAsia="Arial" w:cs="Arial"/>
              </w:rPr>
            </w:pPr>
            <w:r>
              <w:rPr>
                <w:rFonts w:eastAsia="Arial" w:cs="Arial" w:ascii="Arial" w:hAnsi="Arial"/>
              </w:rPr>
              <w:t>Apologies were received fro</w:t>
            </w:r>
            <w:r>
              <w:rPr>
                <w:rFonts w:eastAsia="Arial" w:cs="Arial" w:ascii="Arial" w:hAnsi="Arial"/>
                <w:color w:val="00000A"/>
                <w:kern w:val="2"/>
                <w:sz w:val="22"/>
                <w:szCs w:val="22"/>
                <w:lang w:val="en-GB" w:eastAsia="en-GB" w:bidi="ar-SA"/>
              </w:rPr>
              <w:t xml:space="preserve">m: </w:t>
            </w:r>
            <w:r>
              <w:rPr>
                <w:rFonts w:eastAsia="Arial" w:cs="Arial" w:ascii="Arial" w:hAnsi="Arial"/>
              </w:rPr>
              <w:t>Margaret Thompson</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eastAsia="Calibri" w:cs="Arial"/>
                <w:sz w:val="18"/>
                <w:szCs w:val="18"/>
              </w:rPr>
            </w:pPr>
            <w:r>
              <w:rPr>
                <w:rFonts w:eastAsia="Calibri" w:cs="Arial" w:ascii="Arial" w:hAnsi="Arial"/>
                <w:sz w:val="18"/>
                <w:szCs w:val="18"/>
              </w:rPr>
            </w:r>
          </w:p>
        </w:tc>
      </w:tr>
      <w:tr>
        <w:trPr>
          <w:trHeight w:val="23"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57" w:after="57"/>
              <w:rPr/>
            </w:pPr>
            <w:r>
              <w:rPr>
                <w:rFonts w:eastAsia="Arial" w:cs="Arial" w:ascii="Arial" w:hAnsi="Arial"/>
                <w:b/>
                <w:sz w:val="21"/>
                <w:szCs w:val="21"/>
              </w:rPr>
              <w:t>2. Minutes of last meeting</w:t>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bidi w:val="0"/>
              <w:spacing w:lineRule="auto" w:line="240" w:before="57" w:after="0"/>
              <w:rPr/>
            </w:pPr>
            <w:r>
              <w:rPr>
                <w:rFonts w:eastAsia="Arial" w:cs="Arial" w:ascii="Arial" w:hAnsi="Arial"/>
              </w:rPr>
              <w:t>The minutes of the meeting held on 26 March 2026 were reviewed.</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eastAsia="Calibri" w:cs="Arial"/>
                <w:sz w:val="18"/>
                <w:szCs w:val="18"/>
              </w:rPr>
            </w:pPr>
            <w:r>
              <w:rPr>
                <w:rFonts w:eastAsia="Calibri" w:cs="Arial" w:ascii="Arial" w:hAnsi="Arial"/>
                <w:sz w:val="18"/>
                <w:szCs w:val="18"/>
              </w:rPr>
            </w:r>
          </w:p>
        </w:tc>
      </w:tr>
      <w:tr>
        <w:trPr>
          <w:trHeight w:val="23"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57" w:after="57"/>
              <w:rPr/>
            </w:pPr>
            <w:r>
              <w:rPr>
                <w:rFonts w:eastAsia="Arial" w:cs="Arial" w:ascii="Arial" w:hAnsi="Arial"/>
                <w:b/>
                <w:sz w:val="21"/>
                <w:szCs w:val="21"/>
              </w:rPr>
              <w:t>3. Matters arisings</w:t>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bidi w:val="0"/>
              <w:spacing w:lineRule="auto" w:line="240" w:before="57" w:after="57"/>
              <w:rPr/>
            </w:pPr>
            <w:r>
              <w:rPr>
                <w:rFonts w:eastAsia="Arial" w:cs="Arial" w:ascii="Arial" w:hAnsi="Arial"/>
              </w:rPr>
              <w:t>The minutes of the 26 March 2026 meeting were accepted as a true record.</w:t>
            </w:r>
          </w:p>
          <w:p>
            <w:pPr>
              <w:pStyle w:val="Normal"/>
              <w:widowControl w:val="false"/>
              <w:spacing w:lineRule="auto" w:line="240" w:before="57" w:after="57"/>
              <w:rPr>
                <w:rFonts w:ascii="Arial" w:hAnsi="Arial" w:eastAsia="Arial" w:cs="Arial"/>
              </w:rPr>
            </w:pPr>
            <w:r>
              <w:rPr>
                <w:rFonts w:eastAsia="Arial" w:cs="Arial" w:ascii="Arial" w:hAnsi="Arial"/>
              </w:rPr>
              <w:t>Minutes with an electronic signature will be posted on our website and E-folders as usual. We are continuing to seek additional Trustees</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uto" w:line="240" w:before="57" w:after="119"/>
              <w:jc w:val="center"/>
              <w:rPr>
                <w:rFonts w:ascii="Arial" w:hAnsi="Arial" w:eastAsia="Calibri" w:cs="Arial"/>
                <w:sz w:val="18"/>
                <w:szCs w:val="18"/>
              </w:rPr>
            </w:pPr>
            <w:r>
              <w:rPr>
                <w:rFonts w:eastAsia="Calibri" w:cs="Arial" w:ascii="Arial" w:hAnsi="Arial"/>
                <w:sz w:val="18"/>
                <w:szCs w:val="18"/>
              </w:rPr>
            </w:r>
          </w:p>
          <w:p>
            <w:pPr>
              <w:pStyle w:val="Normal"/>
              <w:widowControl w:val="false"/>
              <w:snapToGrid w:val="false"/>
              <w:spacing w:lineRule="auto" w:line="240" w:before="57" w:after="119"/>
              <w:jc w:val="center"/>
              <w:rPr>
                <w:rFonts w:ascii="Arial" w:hAnsi="Arial" w:eastAsia="Calibri" w:cs="Arial"/>
                <w:sz w:val="18"/>
                <w:szCs w:val="18"/>
              </w:rPr>
            </w:pPr>
            <w:r>
              <w:rPr>
                <w:rFonts w:eastAsia="Calibri" w:cs="Arial" w:ascii="Arial" w:hAnsi="Arial"/>
                <w:sz w:val="18"/>
                <w:szCs w:val="18"/>
              </w:rPr>
            </w:r>
          </w:p>
          <w:p>
            <w:pPr>
              <w:pStyle w:val="Normal"/>
              <w:widowControl w:val="false"/>
              <w:snapToGrid w:val="false"/>
              <w:spacing w:lineRule="auto" w:line="240" w:before="0" w:after="0"/>
              <w:jc w:val="left"/>
              <w:rPr>
                <w:rFonts w:ascii="Arial" w:hAnsi="Arial" w:eastAsia="Calibri" w:cs="Arial"/>
                <w:sz w:val="18"/>
                <w:szCs w:val="18"/>
              </w:rPr>
            </w:pPr>
            <w:r>
              <w:rPr>
                <w:rFonts w:eastAsia="Calibri" w:cs="Arial" w:ascii="Arial" w:hAnsi="Arial"/>
                <w:sz w:val="18"/>
                <w:szCs w:val="18"/>
              </w:rPr>
              <w:t>Peter to post on website</w:t>
            </w:r>
          </w:p>
        </w:tc>
      </w:tr>
      <w:tr>
        <w:trPr>
          <w:trHeight w:val="3691" w:hRule="atLeast"/>
        </w:trPr>
        <w:tc>
          <w:tcPr>
            <w:tcW w:w="1740" w:type="dxa"/>
            <w:tcBorders>
              <w:top w:val="single" w:sz="4" w:space="0" w:color="000000"/>
              <w:left w:val="single" w:sz="4" w:space="0" w:color="000000"/>
            </w:tcBorders>
            <w:shd w:color="auto" w:fill="FFFFFF" w:val="clear"/>
          </w:tcPr>
          <w:p>
            <w:pPr>
              <w:pStyle w:val="Normal"/>
              <w:widowControl w:val="false"/>
              <w:spacing w:lineRule="auto" w:line="240" w:before="57" w:after="0"/>
              <w:rPr/>
            </w:pPr>
            <w:r>
              <w:rPr>
                <w:rFonts w:eastAsia="Arial" w:cs="Arial" w:ascii="Arial" w:hAnsi="Arial"/>
                <w:b/>
                <w:sz w:val="21"/>
                <w:szCs w:val="21"/>
              </w:rPr>
              <w:t xml:space="preserve">4. </w:t>
            </w:r>
            <w:r>
              <w:rPr>
                <w:rFonts w:eastAsia="Times New Roman" w:cs="Arial" w:ascii="Arial" w:hAnsi="Arial"/>
                <w:b/>
                <w:sz w:val="21"/>
                <w:szCs w:val="21"/>
                <w:lang w:eastAsia="en-US"/>
              </w:rPr>
              <w:t>What’s been happening and is planned</w:t>
            </w:r>
          </w:p>
        </w:tc>
        <w:tc>
          <w:tcPr>
            <w:tcW w:w="7027" w:type="dxa"/>
            <w:tcBorders>
              <w:top w:val="single" w:sz="4" w:space="0" w:color="000000"/>
              <w:left w:val="single" w:sz="4" w:space="0" w:color="000000"/>
            </w:tcBorders>
            <w:shd w:color="auto" w:fill="FFFFFF" w:val="clear"/>
          </w:tcPr>
          <w:p>
            <w:pPr>
              <w:pStyle w:val="Normal"/>
              <w:widowControl w:val="false"/>
              <w:tabs>
                <w:tab w:val="clear" w:pos="720"/>
                <w:tab w:val="left" w:pos="317" w:leader="none"/>
              </w:tabs>
              <w:spacing w:lineRule="auto" w:line="240" w:before="57" w:after="0"/>
              <w:rPr>
                <w:color w:val="000000"/>
              </w:rPr>
            </w:pPr>
            <w:r>
              <w:rPr>
                <w:rFonts w:eastAsia="Arial" w:cs="Arial" w:ascii="Arial" w:hAnsi="Arial"/>
                <w:color w:val="000000"/>
              </w:rPr>
              <w:t xml:space="preserve">4.1. </w:t>
            </w:r>
            <w:r>
              <w:rPr>
                <w:rFonts w:eastAsia="Arial" w:cs="Arial" w:ascii="Arial" w:hAnsi="Arial"/>
                <w:b/>
                <w:bCs/>
                <w:color w:val="000000"/>
              </w:rPr>
              <w:t>Wellbeing report:</w:t>
            </w:r>
          </w:p>
          <w:p>
            <w:pPr>
              <w:pStyle w:val="Normal"/>
              <w:widowControl w:val="false"/>
              <w:tabs>
                <w:tab w:val="clear" w:pos="720"/>
                <w:tab w:val="left" w:pos="317" w:leader="none"/>
              </w:tabs>
              <w:bidi w:val="0"/>
              <w:spacing w:lineRule="auto" w:line="240" w:before="0" w:after="57"/>
              <w:rPr>
                <w:color w:val="000000"/>
              </w:rPr>
            </w:pPr>
            <w:r>
              <w:rPr>
                <w:rFonts w:eastAsia="Arial" w:cs="Arial" w:ascii="Arial" w:hAnsi="Arial"/>
                <w:color w:val="000000"/>
              </w:rPr>
              <w:t>Carol’s report was issued prior to the meeting. Kath continues to provide refreshments and lunch and she has also completed the Level 2 Food &amp; Hygiene Safety course and Carol has updated her training with the same course.</w:t>
            </w:r>
          </w:p>
          <w:p>
            <w:pPr>
              <w:pStyle w:val="Normal"/>
              <w:widowControl w:val="false"/>
              <w:tabs>
                <w:tab w:val="clear" w:pos="720"/>
                <w:tab w:val="left" w:pos="317" w:leader="none"/>
              </w:tabs>
              <w:spacing w:lineRule="auto" w:line="240" w:before="57" w:after="57"/>
              <w:rPr>
                <w:color w:val="000000"/>
              </w:rPr>
            </w:pPr>
            <w:r>
              <w:rPr>
                <w:rFonts w:eastAsia="Arial" w:cs="Arial" w:ascii="Arial" w:hAnsi="Arial"/>
                <w:color w:val="000000"/>
              </w:rPr>
              <w:t>There have been creative crafting sessions making box frame pictures from various materials and also a session creating glass mosaic coasters/trays. Jen the ‘Cookie Fairy’ presented a spring themed workshop on 14th April. In future Laura at ‘Wild North’ who does different paper printing techniques and lino prints has been provisionally booked for 23rd June.</w:t>
            </w:r>
          </w:p>
          <w:p>
            <w:pPr>
              <w:pStyle w:val="Normal"/>
              <w:widowControl w:val="false"/>
              <w:tabs>
                <w:tab w:val="clear" w:pos="720"/>
                <w:tab w:val="left" w:pos="317" w:leader="none"/>
              </w:tabs>
              <w:spacing w:lineRule="auto" w:line="240" w:before="57" w:after="113"/>
              <w:rPr>
                <w:color w:val="000000"/>
              </w:rPr>
            </w:pPr>
            <w:r>
              <w:rPr>
                <w:rFonts w:eastAsia="Arial" w:cs="Arial" w:ascii="Arial" w:hAnsi="Arial"/>
                <w:color w:val="000000"/>
              </w:rPr>
              <w:t>New Age Kurling borrowed from Age UK has proved popular. Helen Graham of Durham Markets, has requested that the Wellbeing group make more of the knitted, sewn and crafted Remembrance poppies.</w:t>
            </w:r>
          </w:p>
          <w:p>
            <w:pPr>
              <w:pStyle w:val="Normal"/>
              <w:widowControl w:val="false"/>
              <w:tabs>
                <w:tab w:val="clear" w:pos="720"/>
                <w:tab w:val="left" w:pos="317" w:leader="none"/>
              </w:tabs>
              <w:spacing w:lineRule="auto" w:line="240" w:before="57" w:after="113"/>
              <w:rPr>
                <w:color w:val="000000"/>
              </w:rPr>
            </w:pPr>
            <w:r>
              <w:rPr>
                <w:rFonts w:eastAsia="Arial" w:cs="Arial" w:ascii="Arial" w:hAnsi="Arial"/>
                <w:color w:val="000000"/>
              </w:rPr>
              <w:t>Carol confirmed that the Book library is well used.</w:t>
            </w:r>
          </w:p>
        </w:tc>
        <w:tc>
          <w:tcPr>
            <w:tcW w:w="1493" w:type="dxa"/>
            <w:tcBorders>
              <w:top w:val="single" w:sz="4" w:space="0" w:color="000000"/>
              <w:left w:val="single" w:sz="4" w:space="0" w:color="000000"/>
              <w:right w:val="single" w:sz="4" w:space="0" w:color="000000"/>
            </w:tcBorders>
            <w:shd w:color="auto" w:fill="FFFFFF" w:val="clear"/>
          </w:tcPr>
          <w:p>
            <w:pPr>
              <w:pStyle w:val="Normal"/>
              <w:widowControl w:val="false"/>
              <w:snapToGrid w:val="false"/>
              <w:spacing w:lineRule="atLeast" w:line="100" w:before="0" w:after="0"/>
              <w:jc w:val="center"/>
              <w:rPr>
                <w:rFonts w:ascii="Arial" w:hAnsi="Arial" w:eastAsia="Arial" w:cs="Arial"/>
                <w:sz w:val="18"/>
                <w:szCs w:val="18"/>
              </w:rPr>
            </w:pPr>
            <w:r>
              <w:rPr>
                <w:rFonts w:eastAsia="Arial" w:cs="Arial" w:ascii="Arial" w:hAnsi="Arial"/>
                <w:sz w:val="18"/>
                <w:szCs w:val="18"/>
              </w:rPr>
            </w:r>
          </w:p>
          <w:p>
            <w:pPr>
              <w:pStyle w:val="Normal"/>
              <w:widowControl w:val="false"/>
              <w:snapToGrid w:val="false"/>
              <w:spacing w:lineRule="atLeast" w:line="100" w:before="0" w:after="0"/>
              <w:jc w:val="center"/>
              <w:rPr>
                <w:rFonts w:ascii="Arial" w:hAnsi="Arial" w:eastAsia="Arial" w:cs="Arial"/>
                <w:sz w:val="18"/>
                <w:szCs w:val="18"/>
              </w:rPr>
            </w:pPr>
            <w:r>
              <w:rPr>
                <w:rFonts w:eastAsia="Arial" w:cs="Arial" w:ascii="Arial" w:hAnsi="Arial"/>
                <w:sz w:val="18"/>
                <w:szCs w:val="18"/>
              </w:rPr>
            </w:r>
          </w:p>
        </w:tc>
      </w:tr>
      <w:tr>
        <w:trPr>
          <w:trHeight w:val="604" w:hRule="atLeast"/>
        </w:trPr>
        <w:tc>
          <w:tcPr>
            <w:tcW w:w="1740" w:type="dxa"/>
            <w:tcBorders>
              <w:left w:val="single" w:sz="4" w:space="0" w:color="000000"/>
            </w:tcBorders>
            <w:shd w:color="auto" w:fill="FFFFFF" w:val="clear"/>
          </w:tcPr>
          <w:p>
            <w:pPr>
              <w:pStyle w:val="Normal"/>
              <w:widowControl w:val="false"/>
              <w:snapToGrid w:val="false"/>
              <w:spacing w:lineRule="atLeast" w:line="100" w:before="0" w:after="0"/>
              <w:rPr>
                <w:rFonts w:ascii="Arial" w:hAnsi="Arial" w:eastAsia="Arial" w:cs="Arial"/>
                <w:sz w:val="21"/>
                <w:szCs w:val="21"/>
              </w:rPr>
            </w:pPr>
            <w:r>
              <w:rPr>
                <w:rFonts w:eastAsia="Arial" w:cs="Arial" w:ascii="Arial" w:hAnsi="Arial"/>
                <w:sz w:val="21"/>
                <w:szCs w:val="21"/>
              </w:rPr>
            </w:r>
          </w:p>
        </w:tc>
        <w:tc>
          <w:tcPr>
            <w:tcW w:w="7027" w:type="dxa"/>
            <w:tcBorders>
              <w:left w:val="single" w:sz="4" w:space="0" w:color="000000"/>
            </w:tcBorders>
            <w:shd w:color="auto" w:fill="FFFFFF" w:val="clear"/>
          </w:tcPr>
          <w:p>
            <w:pPr>
              <w:pStyle w:val="Normal"/>
              <w:widowControl w:val="false"/>
              <w:tabs>
                <w:tab w:val="clear" w:pos="720"/>
                <w:tab w:val="left" w:pos="317" w:leader="none"/>
              </w:tabs>
              <w:bidi w:val="0"/>
              <w:spacing w:lineRule="atLeast" w:line="100" w:before="0" w:after="80"/>
              <w:rPr/>
            </w:pPr>
            <w:r>
              <w:rPr>
                <w:rFonts w:ascii="Arial" w:hAnsi="Arial"/>
              </w:rPr>
              <w:t xml:space="preserve">4.2. </w:t>
            </w:r>
            <w:r>
              <w:rPr>
                <w:rFonts w:eastAsia="Times New Roman" w:cs="Arial" w:ascii="Arial" w:hAnsi="Arial"/>
                <w:b/>
                <w:bCs/>
                <w:color w:val="auto"/>
                <w:kern w:val="0"/>
                <w:sz w:val="22"/>
                <w:szCs w:val="22"/>
                <w:lang w:val="en-GB" w:eastAsia="en-US" w:bidi="ar-SA"/>
              </w:rPr>
              <w:t xml:space="preserve">AGM Minutes: </w:t>
            </w:r>
            <w:r>
              <w:rPr>
                <w:rFonts w:eastAsia="Times New Roman" w:cs="Arial" w:ascii="Arial" w:hAnsi="Arial"/>
                <w:b w:val="false"/>
                <w:bCs w:val="false"/>
                <w:color w:val="auto"/>
                <w:kern w:val="0"/>
                <w:sz w:val="22"/>
                <w:szCs w:val="22"/>
                <w:lang w:val="en-GB" w:eastAsia="en-US" w:bidi="ar-SA"/>
              </w:rPr>
              <w:t>I have received some feedback about the AGM minutes and will leave them to be approved at next year’s AGM.</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0" w:after="0"/>
              <w:jc w:val="center"/>
              <w:rPr>
                <w:rFonts w:ascii="Arial" w:hAnsi="Arial" w:eastAsia="Arial" w:cs="Arial"/>
                <w:sz w:val="18"/>
                <w:szCs w:val="18"/>
              </w:rPr>
            </w:pPr>
            <w:r>
              <w:rPr>
                <w:rFonts w:eastAsia="Arial" w:cs="Arial" w:ascii="Arial" w:hAnsi="Arial"/>
                <w:sz w:val="18"/>
                <w:szCs w:val="18"/>
              </w:rPr>
            </w:r>
          </w:p>
        </w:tc>
      </w:tr>
      <w:tr>
        <w:trPr>
          <w:trHeight w:val="604" w:hRule="atLeast"/>
        </w:trPr>
        <w:tc>
          <w:tcPr>
            <w:tcW w:w="1740" w:type="dxa"/>
            <w:tcBorders>
              <w:left w:val="single" w:sz="4" w:space="0" w:color="000000"/>
            </w:tcBorders>
            <w:shd w:color="auto" w:fill="FFFFFF" w:val="clear"/>
          </w:tcPr>
          <w:p>
            <w:pPr>
              <w:pStyle w:val="Normal"/>
              <w:widowControl w:val="false"/>
              <w:snapToGrid w:val="false"/>
              <w:spacing w:lineRule="atLeast" w:line="100" w:before="0" w:after="0"/>
              <w:rPr>
                <w:rFonts w:ascii="Arial" w:hAnsi="Arial" w:eastAsia="Arial" w:cs="Arial"/>
                <w:sz w:val="21"/>
                <w:szCs w:val="21"/>
              </w:rPr>
            </w:pPr>
            <w:r>
              <w:rPr>
                <w:rFonts w:eastAsia="Arial" w:cs="Arial" w:ascii="Arial" w:hAnsi="Arial"/>
                <w:sz w:val="21"/>
                <w:szCs w:val="21"/>
              </w:rPr>
            </w:r>
          </w:p>
        </w:tc>
        <w:tc>
          <w:tcPr>
            <w:tcW w:w="7027" w:type="dxa"/>
            <w:tcBorders>
              <w:left w:val="single" w:sz="4" w:space="0" w:color="000000"/>
            </w:tcBorders>
            <w:shd w:color="auto" w:fill="FFFFFF" w:val="clear"/>
          </w:tcPr>
          <w:p>
            <w:pPr>
              <w:pStyle w:val="Normal"/>
              <w:widowControl w:val="false"/>
              <w:tabs>
                <w:tab w:val="clear" w:pos="720"/>
                <w:tab w:val="left" w:pos="317" w:leader="none"/>
              </w:tabs>
              <w:spacing w:lineRule="atLeast" w:line="100" w:before="0" w:after="80"/>
              <w:rPr/>
            </w:pPr>
            <w:r>
              <w:rPr>
                <w:rFonts w:eastAsia="Arial" w:cs="Arial" w:ascii="Arial" w:hAnsi="Arial"/>
              </w:rPr>
              <w:t xml:space="preserve">4.3. </w:t>
            </w:r>
            <w:r>
              <w:rPr>
                <w:rFonts w:eastAsia="Arial" w:cs="Arial" w:ascii="Arial" w:hAnsi="Arial"/>
                <w:b/>
                <w:bCs/>
              </w:rPr>
              <w:t>Compliance role update</w:t>
            </w:r>
            <w:r>
              <w:rPr>
                <w:rFonts w:eastAsia="Arial" w:cs="Arial" w:ascii="Arial" w:hAnsi="Arial"/>
              </w:rPr>
              <w:t xml:space="preserve">: From </w:t>
            </w:r>
            <w:r>
              <w:rPr>
                <w:rFonts w:eastAsia="Arial" w:cs="Arial" w:ascii="Arial" w:hAnsi="Arial"/>
                <w:color w:val="000000"/>
              </w:rPr>
              <w:t>1 April Jim has taken on extra hours (working 6 hours per day from Monday to Thursday) to cover the compliance role. 3 sets of compliance work: annual building maintenance, health and safety calendar, daily weekly</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0" w:after="0"/>
              <w:jc w:val="center"/>
              <w:rPr>
                <w:rFonts w:ascii="Arial" w:hAnsi="Arial" w:eastAsia="Arial" w:cs="Arial"/>
                <w:sz w:val="18"/>
                <w:szCs w:val="18"/>
              </w:rPr>
            </w:pPr>
            <w:r>
              <w:rPr>
                <w:rFonts w:eastAsia="Arial" w:cs="Arial" w:ascii="Arial" w:hAnsi="Arial"/>
                <w:sz w:val="18"/>
                <w:szCs w:val="18"/>
              </w:rPr>
            </w:r>
          </w:p>
        </w:tc>
      </w:tr>
      <w:tr>
        <w:trPr>
          <w:trHeight w:val="589" w:hRule="atLeast"/>
        </w:trPr>
        <w:tc>
          <w:tcPr>
            <w:tcW w:w="1740" w:type="dxa"/>
            <w:tcBorders>
              <w:left w:val="single" w:sz="4" w:space="0" w:color="000000"/>
            </w:tcBorders>
            <w:shd w:color="auto" w:fill="FFFFFF" w:val="clear"/>
          </w:tcPr>
          <w:p>
            <w:pPr>
              <w:pStyle w:val="Normal"/>
              <w:widowControl w:val="false"/>
              <w:snapToGrid w:val="false"/>
              <w:spacing w:lineRule="atLeast" w:line="100" w:before="0" w:after="0"/>
              <w:rPr>
                <w:rFonts w:ascii="Arial" w:hAnsi="Arial" w:eastAsia="Arial" w:cs="Arial"/>
                <w:sz w:val="21"/>
                <w:szCs w:val="21"/>
              </w:rPr>
            </w:pPr>
            <w:r>
              <w:rPr>
                <w:rFonts w:eastAsia="Arial" w:cs="Arial" w:ascii="Arial" w:hAnsi="Arial"/>
                <w:sz w:val="21"/>
                <w:szCs w:val="21"/>
              </w:rPr>
            </w:r>
          </w:p>
        </w:tc>
        <w:tc>
          <w:tcPr>
            <w:tcW w:w="7027" w:type="dxa"/>
            <w:tcBorders>
              <w:left w:val="single" w:sz="4" w:space="0" w:color="000000"/>
            </w:tcBorders>
            <w:shd w:color="auto" w:fill="FFFFFF" w:val="clear"/>
          </w:tcPr>
          <w:p>
            <w:pPr>
              <w:pStyle w:val="Normal"/>
              <w:widowControl w:val="false"/>
              <w:tabs>
                <w:tab w:val="clear" w:pos="720"/>
                <w:tab w:val="left" w:pos="317" w:leader="none"/>
              </w:tabs>
              <w:spacing w:lineRule="atLeast" w:line="100" w:before="0" w:after="80"/>
              <w:rPr/>
            </w:pPr>
            <w:r>
              <w:rPr>
                <w:rFonts w:eastAsia="Arial" w:cs="Arial" w:ascii="Arial" w:hAnsi="Arial"/>
              </w:rPr>
              <w:t xml:space="preserve">4.4. </w:t>
            </w:r>
            <w:r>
              <w:rPr>
                <w:rFonts w:eastAsia="Arial" w:cs="Arial" w:ascii="Arial" w:hAnsi="Arial"/>
                <w:b/>
                <w:bCs/>
              </w:rPr>
              <w:t>Updated Budget plan 2026</w:t>
            </w:r>
            <w:r>
              <w:rPr>
                <w:rFonts w:eastAsia="Arial" w:cs="Arial" w:ascii="Arial" w:hAnsi="Arial"/>
              </w:rPr>
              <w:t>: Ian’s plan will be reissued once the TIN Arts position is is clear after July.</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0" w:after="0"/>
              <w:jc w:val="center"/>
              <w:rPr>
                <w:rFonts w:ascii="Arial" w:hAnsi="Arial" w:eastAsia="Arial" w:cs="Arial"/>
                <w:sz w:val="18"/>
                <w:szCs w:val="18"/>
              </w:rPr>
            </w:pPr>
            <w:r>
              <w:rPr>
                <w:rFonts w:eastAsia="Arial" w:cs="Arial" w:ascii="Arial" w:hAnsi="Arial"/>
                <w:sz w:val="18"/>
                <w:szCs w:val="18"/>
              </w:rPr>
            </w:r>
          </w:p>
        </w:tc>
      </w:tr>
      <w:tr>
        <w:trPr>
          <w:trHeight w:val="621" w:hRule="atLeast"/>
        </w:trPr>
        <w:tc>
          <w:tcPr>
            <w:tcW w:w="1740" w:type="dxa"/>
            <w:tcBorders>
              <w:left w:val="single" w:sz="4" w:space="0" w:color="000000"/>
            </w:tcBorders>
            <w:shd w:color="auto" w:fill="FFFFFF" w:val="clear"/>
          </w:tcPr>
          <w:p>
            <w:pPr>
              <w:pStyle w:val="Normal"/>
              <w:widowControl w:val="false"/>
              <w:snapToGrid w:val="false"/>
              <w:spacing w:lineRule="atLeast" w:line="100" w:before="0" w:after="0"/>
              <w:rPr>
                <w:rFonts w:ascii="Arial" w:hAnsi="Arial" w:eastAsia="Arial" w:cs="Arial"/>
                <w:sz w:val="21"/>
                <w:szCs w:val="21"/>
              </w:rPr>
            </w:pPr>
            <w:r>
              <w:rPr>
                <w:rFonts w:eastAsia="Arial" w:cs="Arial" w:ascii="Arial" w:hAnsi="Arial"/>
                <w:sz w:val="21"/>
                <w:szCs w:val="21"/>
              </w:rPr>
            </w:r>
          </w:p>
        </w:tc>
        <w:tc>
          <w:tcPr>
            <w:tcW w:w="7027" w:type="dxa"/>
            <w:tcBorders>
              <w:left w:val="single" w:sz="4" w:space="0" w:color="000000"/>
            </w:tcBorders>
            <w:shd w:color="auto" w:fill="FFFFFF" w:val="clear"/>
          </w:tcPr>
          <w:p>
            <w:pPr>
              <w:pStyle w:val="Normal"/>
              <w:widowControl w:val="false"/>
              <w:tabs>
                <w:tab w:val="clear" w:pos="720"/>
                <w:tab w:val="left" w:pos="317" w:leader="none"/>
              </w:tabs>
              <w:bidi w:val="0"/>
              <w:spacing w:lineRule="atLeast" w:line="100" w:before="0" w:after="80"/>
              <w:rPr>
                <w:rFonts w:ascii="Arial" w:hAnsi="Arial" w:eastAsia="Arial" w:cs="Arial"/>
              </w:rPr>
            </w:pPr>
            <w:r>
              <w:rPr>
                <w:rFonts w:eastAsia="Arial" w:cs="Arial" w:ascii="Arial" w:hAnsi="Arial"/>
              </w:rPr>
              <w:t xml:space="preserve">4.5. </w:t>
            </w:r>
            <w:r>
              <w:rPr>
                <w:rFonts w:eastAsia="Arial" w:cs="Arial" w:ascii="Arial" w:hAnsi="Arial"/>
                <w:b/>
                <w:bCs/>
              </w:rPr>
              <w:t>Update on organisation replacing TIN Arts</w:t>
            </w:r>
            <w:r>
              <w:rPr>
                <w:rFonts w:eastAsia="Arial" w:cs="Arial" w:ascii="Arial" w:hAnsi="Arial"/>
              </w:rPr>
              <w:t>: The Trustees have been working closely with DCC Integrating, an organisation who work with children and young adults (aged between 5 to 25 years) with a range of disabilities and learning difficulties. David Gaudie is the group leader and we have agreed the conditions of their hire agreement to use Hall 1: Brockwell and Room Tilly, plus 2 Offices and a storage area. Their payments will essentially replace those paid by TIN Arts which allows the Centre to continue to be sustainable..David and his Chair have now signed the hire agreement.</w:t>
            </w:r>
          </w:p>
          <w:p>
            <w:pPr>
              <w:pStyle w:val="Normal"/>
              <w:widowControl w:val="false"/>
              <w:tabs>
                <w:tab w:val="clear" w:pos="720"/>
                <w:tab w:val="left" w:pos="317" w:leader="none"/>
              </w:tabs>
              <w:bidi w:val="0"/>
              <w:spacing w:lineRule="atLeast" w:line="100" w:before="0" w:after="80"/>
              <w:rPr>
                <w:rFonts w:ascii="Arial" w:hAnsi="Arial" w:eastAsia="Arial" w:cs="Arial"/>
              </w:rPr>
            </w:pPr>
            <w:r>
              <w:rPr>
                <w:rFonts w:eastAsia="Arial" w:cs="Arial" w:ascii="Arial" w:hAnsi="Arial"/>
              </w:rPr>
              <w:t>Ken confirmed that TIN Arts will have possession of their new premises by 22 May</w:t>
            </w:r>
          </w:p>
          <w:p>
            <w:pPr>
              <w:pStyle w:val="Normal"/>
              <w:widowControl w:val="false"/>
              <w:tabs>
                <w:tab w:val="clear" w:pos="720"/>
                <w:tab w:val="left" w:pos="317" w:leader="none"/>
              </w:tabs>
              <w:bidi w:val="0"/>
              <w:spacing w:lineRule="atLeast" w:line="100" w:before="0" w:after="80"/>
              <w:rPr>
                <w:rFonts w:ascii="Arial" w:hAnsi="Arial" w:eastAsia="Arial" w:cs="Arial"/>
              </w:rPr>
            </w:pPr>
            <w:r>
              <w:rPr>
                <w:rFonts w:eastAsia="Arial" w:cs="Arial" w:ascii="Arial" w:hAnsi="Arial"/>
              </w:rPr>
              <w:t>DCYP working from home arrangements are developing so they don’t need an extra office space.</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uto" w:line="240" w:before="57" w:after="0"/>
              <w:jc w:val="center"/>
              <w:rPr>
                <w:rFonts w:ascii="Arial" w:hAnsi="Arial" w:eastAsia="Arial" w:cs="Arial"/>
                <w:sz w:val="18"/>
                <w:szCs w:val="18"/>
              </w:rPr>
            </w:pPr>
            <w:r>
              <w:rPr>
                <w:rFonts w:eastAsia="Arial" w:cs="Arial" w:ascii="Arial" w:hAnsi="Arial"/>
                <w:sz w:val="18"/>
                <w:szCs w:val="18"/>
              </w:rPr>
            </w:r>
          </w:p>
        </w:tc>
      </w:tr>
      <w:tr>
        <w:trPr>
          <w:trHeight w:val="621" w:hRule="atLeast"/>
        </w:trPr>
        <w:tc>
          <w:tcPr>
            <w:tcW w:w="1740" w:type="dxa"/>
            <w:tcBorders>
              <w:left w:val="single" w:sz="4" w:space="0" w:color="000000"/>
            </w:tcBorders>
            <w:shd w:color="auto" w:fill="FFFFFF" w:val="clear"/>
          </w:tcPr>
          <w:p>
            <w:pPr>
              <w:pStyle w:val="Normal"/>
              <w:widowControl w:val="false"/>
              <w:snapToGrid w:val="false"/>
              <w:spacing w:lineRule="atLeast" w:line="100" w:before="0" w:after="0"/>
              <w:rPr>
                <w:rFonts w:ascii="Arial" w:hAnsi="Arial" w:eastAsia="Arial" w:cs="Arial"/>
                <w:sz w:val="21"/>
                <w:szCs w:val="21"/>
              </w:rPr>
            </w:pPr>
            <w:r>
              <w:rPr>
                <w:rFonts w:eastAsia="Arial" w:cs="Arial" w:ascii="Arial" w:hAnsi="Arial"/>
                <w:sz w:val="21"/>
                <w:szCs w:val="21"/>
              </w:rPr>
            </w:r>
          </w:p>
        </w:tc>
        <w:tc>
          <w:tcPr>
            <w:tcW w:w="7027" w:type="dxa"/>
            <w:tcBorders>
              <w:left w:val="single" w:sz="4" w:space="0" w:color="000000"/>
            </w:tcBorders>
            <w:shd w:color="auto" w:fill="FFFFFF" w:val="clear"/>
          </w:tcPr>
          <w:p>
            <w:pPr>
              <w:pStyle w:val="Normal"/>
              <w:widowControl w:val="false"/>
              <w:tabs>
                <w:tab w:val="clear" w:pos="720"/>
                <w:tab w:val="left" w:pos="317" w:leader="none"/>
              </w:tabs>
              <w:spacing w:lineRule="auto" w:line="240" w:before="57" w:after="57"/>
              <w:rPr/>
            </w:pPr>
            <w:r>
              <w:rPr>
                <w:rFonts w:eastAsia="Arial" w:cs="Arial" w:ascii="Arial" w:hAnsi="Arial"/>
              </w:rPr>
              <w:t xml:space="preserve">4.6. </w:t>
            </w:r>
            <w:r>
              <w:rPr>
                <w:rFonts w:eastAsia="Arial" w:cs="Arial" w:ascii="Arial" w:hAnsi="Arial"/>
                <w:b/>
                <w:bCs/>
              </w:rPr>
              <w:t>Lease renewal update</w:t>
            </w:r>
            <w:r>
              <w:rPr>
                <w:rFonts w:eastAsia="Arial" w:cs="Arial" w:ascii="Arial" w:hAnsi="Arial"/>
              </w:rPr>
              <w:t>: Following the AGM, the Parish Council were approached to see if they were able to take over the Freehold of the premises. Following their last Council meeting, Rachael reported that they didn’t have the capacity to do this as if FMYCA folds then the Parish Council would have to pay for costs involved. Hence we will contact DCC about a new lease and look to 2027 (our 150 anniversary year) for this to happen. It was suggested that a lease of more than 30 year would be possible – investigate leases of 99 years.</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uto" w:line="240" w:before="57" w:after="0"/>
              <w:jc w:val="center"/>
              <w:rPr>
                <w:rFonts w:ascii="Arial" w:hAnsi="Arial" w:eastAsia="Arial" w:cs="Arial"/>
                <w:sz w:val="18"/>
                <w:szCs w:val="18"/>
              </w:rPr>
            </w:pPr>
            <w:r>
              <w:rPr>
                <w:rFonts w:eastAsia="Arial" w:cs="Arial" w:ascii="Arial" w:hAnsi="Arial"/>
                <w:sz w:val="18"/>
                <w:szCs w:val="18"/>
              </w:rPr>
            </w:r>
          </w:p>
          <w:p>
            <w:pPr>
              <w:pStyle w:val="Normal"/>
              <w:widowControl w:val="false"/>
              <w:snapToGrid w:val="false"/>
              <w:spacing w:lineRule="auto" w:line="240" w:before="57" w:after="0"/>
              <w:jc w:val="center"/>
              <w:rPr>
                <w:rFonts w:ascii="Arial" w:hAnsi="Arial" w:eastAsia="Arial" w:cs="Arial"/>
                <w:sz w:val="18"/>
                <w:szCs w:val="18"/>
              </w:rPr>
            </w:pPr>
            <w:r>
              <w:rPr>
                <w:rFonts w:eastAsia="Arial" w:cs="Arial" w:ascii="Arial" w:hAnsi="Arial"/>
                <w:sz w:val="18"/>
                <w:szCs w:val="18"/>
              </w:rPr>
              <w:t>Ian and Peter to continue the process</w:t>
            </w:r>
          </w:p>
        </w:tc>
      </w:tr>
      <w:tr>
        <w:trPr>
          <w:trHeight w:val="481" w:hRule="atLeast"/>
        </w:trPr>
        <w:tc>
          <w:tcPr>
            <w:tcW w:w="1740" w:type="dxa"/>
            <w:tcBorders>
              <w:left w:val="single" w:sz="4" w:space="0" w:color="000000"/>
            </w:tcBorders>
            <w:shd w:color="auto" w:fill="FFFFFF" w:val="clear"/>
          </w:tcPr>
          <w:p>
            <w:pPr>
              <w:pStyle w:val="Normal"/>
              <w:widowControl w:val="false"/>
              <w:snapToGrid w:val="false"/>
              <w:spacing w:lineRule="atLeast" w:line="100" w:before="0" w:after="0"/>
              <w:rPr>
                <w:rFonts w:ascii="Arial" w:hAnsi="Arial" w:eastAsia="Arial" w:cs="Arial"/>
                <w:sz w:val="21"/>
                <w:szCs w:val="21"/>
              </w:rPr>
            </w:pPr>
            <w:r>
              <w:rPr>
                <w:rFonts w:eastAsia="Arial" w:cs="Arial" w:ascii="Arial" w:hAnsi="Arial"/>
                <w:sz w:val="21"/>
                <w:szCs w:val="21"/>
              </w:rPr>
            </w:r>
          </w:p>
        </w:tc>
        <w:tc>
          <w:tcPr>
            <w:tcW w:w="7027" w:type="dxa"/>
            <w:tcBorders>
              <w:left w:val="single" w:sz="4" w:space="0" w:color="000000"/>
            </w:tcBorders>
            <w:shd w:color="auto" w:fill="FFFFFF" w:val="clear"/>
          </w:tcPr>
          <w:p>
            <w:pPr>
              <w:pStyle w:val="Normal"/>
              <w:widowControl w:val="false"/>
              <w:tabs>
                <w:tab w:val="clear" w:pos="720"/>
                <w:tab w:val="left" w:pos="317" w:leader="none"/>
              </w:tabs>
              <w:bidi w:val="0"/>
              <w:spacing w:lineRule="auto" w:line="240" w:before="57" w:after="57"/>
              <w:rPr/>
            </w:pPr>
            <w:r>
              <w:rPr>
                <w:rFonts w:eastAsia="Arial" w:cs="Arial" w:ascii="Arial" w:hAnsi="Arial"/>
              </w:rPr>
              <w:t xml:space="preserve">4.7. </w:t>
            </w:r>
            <w:r>
              <w:rPr>
                <w:rFonts w:eastAsia="Arial" w:cs="Arial" w:ascii="Arial" w:hAnsi="Arial"/>
                <w:b/>
                <w:bCs/>
              </w:rPr>
              <w:t>Charity Commission submission of accounts</w:t>
            </w:r>
            <w:r>
              <w:rPr>
                <w:rFonts w:eastAsia="Arial" w:cs="Arial" w:ascii="Arial" w:hAnsi="Arial"/>
              </w:rPr>
              <w:t>: Confirmation that the Annual Report &amp; Accounts have been submitted and accepted by the Charity Commission. The Secretary is in the process of updating all Trustees records.</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uto" w:line="240" w:before="57" w:after="0"/>
              <w:jc w:val="center"/>
              <w:rPr>
                <w:rFonts w:ascii="Arial" w:hAnsi="Arial" w:eastAsia="Arial" w:cs="Arial"/>
                <w:sz w:val="18"/>
                <w:szCs w:val="18"/>
              </w:rPr>
            </w:pPr>
            <w:r>
              <w:rPr>
                <w:rFonts w:eastAsia="Arial" w:cs="Arial" w:ascii="Arial" w:hAnsi="Arial"/>
                <w:sz w:val="18"/>
                <w:szCs w:val="18"/>
              </w:rPr>
            </w:r>
          </w:p>
        </w:tc>
      </w:tr>
      <w:tr>
        <w:trPr>
          <w:trHeight w:val="5736" w:hRule="atLeast"/>
        </w:trPr>
        <w:tc>
          <w:tcPr>
            <w:tcW w:w="1740" w:type="dxa"/>
            <w:tcBorders>
              <w:top w:val="single" w:sz="4" w:space="0" w:color="000000"/>
              <w:left w:val="single" w:sz="4" w:space="0" w:color="000000"/>
            </w:tcBorders>
            <w:shd w:color="auto" w:fill="FFFFFF" w:val="clear"/>
          </w:tcPr>
          <w:p>
            <w:pPr>
              <w:pStyle w:val="Normal"/>
              <w:widowControl w:val="false"/>
              <w:spacing w:lineRule="atLeast" w:line="100" w:before="57" w:after="57"/>
              <w:rPr>
                <w:rFonts w:ascii="Arial" w:hAnsi="Arial" w:eastAsia="Times New Roman" w:cs="Arial"/>
                <w:b/>
                <w:sz w:val="21"/>
                <w:szCs w:val="21"/>
                <w:lang w:eastAsia="en-US"/>
              </w:rPr>
            </w:pPr>
            <w:r>
              <w:rPr>
                <w:rFonts w:eastAsia="Times New Roman" w:cs="Arial" w:ascii="Arial" w:hAnsi="Arial"/>
                <w:b/>
                <w:sz w:val="21"/>
                <w:szCs w:val="21"/>
                <w:lang w:eastAsia="en-US"/>
              </w:rPr>
              <w:t>5. Treasurers report</w:t>
            </w:r>
          </w:p>
        </w:tc>
        <w:tc>
          <w:tcPr>
            <w:tcW w:w="7027" w:type="dxa"/>
            <w:tcBorders>
              <w:top w:val="single" w:sz="4" w:space="0" w:color="000000"/>
              <w:left w:val="single" w:sz="4" w:space="0" w:color="000000"/>
            </w:tcBorders>
            <w:shd w:color="auto" w:fill="FFFFFF" w:val="clear"/>
          </w:tcPr>
          <w:p>
            <w:pPr>
              <w:pStyle w:val="Normal"/>
              <w:widowControl w:val="false"/>
              <w:tabs>
                <w:tab w:val="clear" w:pos="720"/>
                <w:tab w:val="left" w:pos="317" w:leader="none"/>
              </w:tabs>
              <w:spacing w:lineRule="auto" w:line="240" w:before="57" w:after="57"/>
              <w:rPr/>
            </w:pPr>
            <w:r>
              <w:rPr>
                <w:rFonts w:eastAsia="Arial" w:cs="Arial" w:ascii="Arial" w:hAnsi="Arial"/>
                <w:color w:val="000000"/>
              </w:rPr>
              <w:t xml:space="preserve">5.1. </w:t>
            </w:r>
            <w:r>
              <w:rPr>
                <w:rFonts w:eastAsia="Arial" w:cs="Arial" w:ascii="Arial" w:hAnsi="Arial"/>
                <w:b/>
                <w:bCs/>
                <w:color w:val="000000"/>
              </w:rPr>
              <w:t xml:space="preserve">Financial report: Cash Accounts to 30/04/2026 </w:t>
            </w:r>
            <w:r>
              <w:rPr>
                <w:rFonts w:eastAsia="Arial" w:cs="Arial" w:ascii="Arial" w:hAnsi="Arial"/>
                <w:b w:val="false"/>
                <w:bCs w:val="false"/>
                <w:color w:val="000000"/>
              </w:rPr>
              <w:t>-</w:t>
            </w:r>
            <w:r>
              <w:rPr>
                <w:rFonts w:eastAsia="Arial" w:cs="Arial" w:ascii="Arial" w:hAnsi="Arial"/>
                <w:b/>
                <w:bCs/>
                <w:color w:val="000000"/>
              </w:rPr>
              <w:t xml:space="preserve"> </w:t>
            </w:r>
            <w:r>
              <w:rPr>
                <w:rFonts w:eastAsia="Arial" w:cs="Arial" w:ascii="Arial" w:hAnsi="Arial"/>
                <w:b w:val="false"/>
                <w:bCs w:val="false"/>
                <w:color w:val="000000"/>
              </w:rPr>
              <w:t>Ian reported:</w:t>
            </w:r>
          </w:p>
          <w:p>
            <w:pPr>
              <w:pStyle w:val="Normal"/>
              <w:widowControl w:val="false"/>
              <w:tabs>
                <w:tab w:val="clear" w:pos="720"/>
                <w:tab w:val="left" w:pos="317" w:leader="none"/>
              </w:tabs>
              <w:spacing w:lineRule="auto" w:line="240" w:before="0" w:after="57"/>
              <w:rPr/>
            </w:pPr>
            <w:r>
              <w:rPr>
                <w:rFonts w:eastAsia="Arial" w:cs="Arial" w:ascii="Arial" w:hAnsi="Arial"/>
                <w:b w:val="false"/>
                <w:bCs w:val="false"/>
                <w:color w:val="000000"/>
              </w:rPr>
              <w:t xml:space="preserve">(a) </w:t>
            </w:r>
            <w:r>
              <w:rPr>
                <w:rFonts w:eastAsia="Arial" w:cs="Arial" w:ascii="Arial" w:hAnsi="Arial"/>
                <w:b/>
                <w:bCs/>
                <w:color w:val="000000"/>
              </w:rPr>
              <w:t>Receipts:</w:t>
            </w:r>
            <w:r>
              <w:rPr>
                <w:rFonts w:eastAsia="Arial" w:cs="Arial" w:ascii="Arial" w:hAnsi="Arial"/>
                <w:color w:val="000000"/>
              </w:rPr>
              <w:t xml:space="preserve"> amounted to £35,933 in the 4 months, which is £5,911 ahead the same period last year due to increased room hire, timing of rents received and interest receipts.</w:t>
            </w:r>
          </w:p>
          <w:p>
            <w:pPr>
              <w:pStyle w:val="Normal"/>
              <w:widowControl w:val="false"/>
              <w:tabs>
                <w:tab w:val="clear" w:pos="720"/>
                <w:tab w:val="left" w:pos="317" w:leader="none"/>
              </w:tabs>
              <w:spacing w:lineRule="auto" w:line="240" w:before="0" w:after="57"/>
              <w:rPr>
                <w:rFonts w:ascii="Arial" w:hAnsi="Arial" w:eastAsia="Arial" w:cs="Arial"/>
                <w:color w:val="000000"/>
              </w:rPr>
            </w:pPr>
            <w:r>
              <w:rPr>
                <w:rFonts w:eastAsia="Arial" w:cs="Arial" w:ascii="Arial" w:hAnsi="Arial"/>
                <w:color w:val="000000"/>
              </w:rPr>
              <w:t>General room hire receipts are at £16.097; TIN Arts room hire at £6,774 and overall office hire receipts at £10,982 were all greater than last year. The increased usage of the meeting rooms in the School House has been useful extra income. There have been no grants received this year so far.</w:t>
            </w:r>
          </w:p>
          <w:p>
            <w:pPr>
              <w:pStyle w:val="Normal"/>
              <w:widowControl w:val="false"/>
              <w:tabs>
                <w:tab w:val="clear" w:pos="720"/>
                <w:tab w:val="left" w:pos="317" w:leader="none"/>
              </w:tabs>
              <w:spacing w:lineRule="auto" w:line="240" w:before="0" w:after="57"/>
              <w:rPr>
                <w:color w:val="000000"/>
              </w:rPr>
            </w:pPr>
            <w:r>
              <w:rPr>
                <w:rFonts w:eastAsia="Arial" w:cs="Arial" w:ascii="Arial" w:hAnsi="Arial"/>
                <w:color w:val="000000"/>
              </w:rPr>
              <w:t xml:space="preserve">(b) </w:t>
            </w:r>
            <w:r>
              <w:rPr>
                <w:rFonts w:eastAsia="Arial" w:cs="Arial" w:ascii="Arial" w:hAnsi="Arial"/>
                <w:b/>
                <w:bCs/>
                <w:color w:val="000000"/>
              </w:rPr>
              <w:t>Expenditure:</w:t>
            </w:r>
            <w:r>
              <w:rPr>
                <w:rFonts w:eastAsia="Arial" w:cs="Arial" w:ascii="Arial" w:hAnsi="Arial"/>
                <w:color w:val="000000"/>
              </w:rPr>
              <w:t xml:space="preserve"> to £30,611 in the period, which is £5,510 less than last year. This is largely due to lower spend on the building and maintenance offset by higher gas and cleaning costs. The accountancy costs related last year were paid in April.</w:t>
            </w:r>
          </w:p>
          <w:p>
            <w:pPr>
              <w:pStyle w:val="Normal"/>
              <w:widowControl w:val="false"/>
              <w:tabs>
                <w:tab w:val="clear" w:pos="720"/>
                <w:tab w:val="left" w:pos="317" w:leader="none"/>
              </w:tabs>
              <w:spacing w:lineRule="auto" w:line="240" w:before="0" w:after="57"/>
              <w:rPr>
                <w:color w:val="000000"/>
              </w:rPr>
            </w:pPr>
            <w:r>
              <w:rPr>
                <w:rFonts w:eastAsia="Arial" w:cs="Arial" w:ascii="Arial" w:hAnsi="Arial"/>
                <w:color w:val="000000"/>
              </w:rPr>
              <w:t>Net funds inflow for the period was £5,323, giving a balance at bank and in hand of £127,704 as at the period end. The bank balances are with the Cooperative Bank and United Trust Bank.</w:t>
            </w:r>
          </w:p>
          <w:p>
            <w:pPr>
              <w:pStyle w:val="Normal"/>
              <w:widowControl w:val="false"/>
              <w:tabs>
                <w:tab w:val="clear" w:pos="720"/>
                <w:tab w:val="left" w:pos="317" w:leader="none"/>
              </w:tabs>
              <w:bidi w:val="0"/>
              <w:spacing w:lineRule="auto" w:line="240" w:before="0" w:after="57"/>
              <w:rPr>
                <w:color w:val="000000"/>
              </w:rPr>
            </w:pPr>
            <w:r>
              <w:rPr>
                <w:rFonts w:eastAsia="Arial" w:cs="Arial" w:ascii="Arial" w:hAnsi="Arial"/>
                <w:color w:val="000000"/>
              </w:rPr>
              <w:t xml:space="preserve">(c) </w:t>
            </w:r>
            <w:r>
              <w:rPr>
                <w:rFonts w:eastAsia="Arial" w:cs="Arial" w:ascii="Arial" w:hAnsi="Arial"/>
                <w:b/>
                <w:bCs/>
                <w:color w:val="000000"/>
              </w:rPr>
              <w:t xml:space="preserve">Reserves: </w:t>
            </w:r>
            <w:r>
              <w:rPr>
                <w:rFonts w:eastAsia="Arial" w:cs="Arial" w:ascii="Arial" w:hAnsi="Arial"/>
                <w:b w:val="false"/>
                <w:bCs w:val="false"/>
                <w:color w:val="000000"/>
              </w:rPr>
              <w:t>Restricted funds at 31 December were £1,365, being the remaining balance on the Point North grant received for Wellbeing. The balance on the Repairs fund is £60,000, unchanged from the year end (this reflects the funds set aside for the balance of the expected cost of works at the School House and also other anticipated ongoing repairs and improvements). The balance on Unrestricted cash funds was £66,399 at 30 April.</w:t>
            </w:r>
          </w:p>
        </w:tc>
        <w:tc>
          <w:tcPr>
            <w:tcW w:w="1493" w:type="dxa"/>
            <w:tcBorders>
              <w:top w:val="single" w:sz="4" w:space="0" w:color="000000"/>
              <w:left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eastAsia="Arial" w:cs="Arial"/>
                <w:color w:val="000000"/>
                <w:sz w:val="18"/>
                <w:szCs w:val="18"/>
              </w:rPr>
            </w:pPr>
            <w:r>
              <w:rPr>
                <w:rFonts w:eastAsia="Arial" w:cs="Arial" w:ascii="Arial" w:hAnsi="Arial"/>
                <w:color w:val="000000"/>
                <w:sz w:val="18"/>
                <w:szCs w:val="18"/>
              </w:rPr>
            </w:r>
          </w:p>
        </w:tc>
      </w:tr>
      <w:tr>
        <w:trPr>
          <w:trHeight w:val="637" w:hRule="atLeast"/>
        </w:trPr>
        <w:tc>
          <w:tcPr>
            <w:tcW w:w="1740" w:type="dxa"/>
            <w:tcBorders>
              <w:left w:val="single" w:sz="4" w:space="0" w:color="000000"/>
            </w:tcBorders>
            <w:shd w:color="auto" w:fill="FFFFFF" w:val="clear"/>
          </w:tcPr>
          <w:p>
            <w:pPr>
              <w:pStyle w:val="Normal"/>
              <w:widowControl w:val="false"/>
              <w:spacing w:lineRule="auto" w:line="240" w:before="57" w:after="0"/>
              <w:rPr/>
            </w:pPr>
            <w:r>
              <w:rPr/>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tabs>
                <w:tab w:val="clear" w:pos="720"/>
                <w:tab w:val="left" w:pos="317" w:leader="none"/>
              </w:tabs>
              <w:spacing w:lineRule="auto" w:line="240" w:before="57" w:after="57"/>
              <w:rPr>
                <w:rFonts w:ascii="Arial" w:hAnsi="Arial"/>
              </w:rPr>
            </w:pPr>
            <w:r>
              <w:rPr>
                <w:rFonts w:ascii="Arial" w:hAnsi="Arial"/>
              </w:rPr>
              <w:t xml:space="preserve">5.2. </w:t>
            </w:r>
            <w:r>
              <w:rPr>
                <w:rFonts w:ascii="Arial" w:hAnsi="Arial"/>
                <w:b/>
                <w:bCs/>
              </w:rPr>
              <w:t>Energy information 2026</w:t>
            </w:r>
          </w:p>
          <w:p>
            <w:pPr>
              <w:pStyle w:val="Normal"/>
              <w:widowControl w:val="false"/>
              <w:tabs>
                <w:tab w:val="clear" w:pos="720"/>
                <w:tab w:val="left" w:pos="317" w:leader="none"/>
              </w:tabs>
              <w:spacing w:lineRule="auto" w:line="240" w:before="57" w:after="113"/>
              <w:rPr>
                <w:rFonts w:ascii="Arial" w:hAnsi="Arial"/>
              </w:rPr>
            </w:pPr>
            <w:r>
              <w:rPr>
                <w:rFonts w:ascii="Arial" w:hAnsi="Arial"/>
              </w:rPr>
              <w:t>Charts of the monthly energy consumption have been circulated.</w:t>
            </w:r>
          </w:p>
          <w:p>
            <w:pPr>
              <w:pStyle w:val="Normal"/>
              <w:widowControl w:val="false"/>
              <w:tabs>
                <w:tab w:val="clear" w:pos="720"/>
                <w:tab w:val="left" w:pos="317" w:leader="none"/>
              </w:tabs>
              <w:bidi w:val="0"/>
              <w:spacing w:lineRule="auto" w:line="240" w:before="57" w:after="113"/>
              <w:rPr>
                <w:rFonts w:ascii="Arial" w:hAnsi="Arial"/>
              </w:rPr>
            </w:pPr>
            <w:r>
              <w:rPr>
                <w:rFonts w:ascii="Arial" w:hAnsi="Arial"/>
                <w:b/>
                <w:bCs/>
              </w:rPr>
              <w:t>Gas:</w:t>
            </w:r>
            <w:r>
              <w:rPr>
                <w:rFonts w:ascii="Arial" w:hAnsi="Arial"/>
              </w:rPr>
              <w:t xml:space="preserve"> The Centre used around 36,230 kWh in the 4 months period which was up about 3% on 2025. The monthly trend is as expected with the consumption reducing with the less cool weather, after “a blip” in February</w:t>
            </w:r>
          </w:p>
          <w:p>
            <w:pPr>
              <w:pStyle w:val="Normal"/>
              <w:widowControl w:val="false"/>
              <w:tabs>
                <w:tab w:val="clear" w:pos="720"/>
                <w:tab w:val="left" w:pos="317" w:leader="none"/>
              </w:tabs>
              <w:spacing w:lineRule="auto" w:line="240" w:before="57" w:after="113"/>
              <w:rPr>
                <w:rFonts w:ascii="Arial" w:hAnsi="Arial"/>
              </w:rPr>
            </w:pPr>
            <w:r>
              <w:rPr>
                <w:rFonts w:ascii="Arial" w:hAnsi="Arial"/>
                <w:b/>
                <w:bCs/>
              </w:rPr>
              <w:t>Electricity</w:t>
            </w:r>
            <w:r>
              <w:rPr>
                <w:rFonts w:ascii="Arial" w:hAnsi="Arial"/>
              </w:rPr>
              <w:t xml:space="preserve"> consumption in 2026 to date is 32% higher than in the same period in 2025, being about 6,200 kWh. However, costs for the 4 months in 2026 are similar to those for the same period in 2025 due to a more favourable contract this year. We are investigating the Heat Pump settings to see if they can be adjusted so as to supplement the gas heating in an even more efficient manner.</w:t>
            </w:r>
          </w:p>
          <w:p>
            <w:pPr>
              <w:pStyle w:val="Normal"/>
              <w:widowControl w:val="false"/>
              <w:tabs>
                <w:tab w:val="clear" w:pos="720"/>
                <w:tab w:val="left" w:pos="317" w:leader="none"/>
              </w:tabs>
              <w:bidi w:val="0"/>
              <w:spacing w:lineRule="auto" w:line="240" w:before="57" w:after="113"/>
              <w:rPr>
                <w:rFonts w:ascii="Arial" w:hAnsi="Arial"/>
              </w:rPr>
            </w:pPr>
            <w:r>
              <w:rPr>
                <w:rFonts w:ascii="Arial" w:hAnsi="Arial"/>
                <w:b/>
                <w:bCs/>
              </w:rPr>
              <w:t>Solar</w:t>
            </w:r>
            <w:r>
              <w:rPr>
                <w:rFonts w:ascii="Arial" w:hAnsi="Arial"/>
              </w:rPr>
              <w:t xml:space="preserve"> generation this year has been around 2,900kWh, which is similar to last year, and has saved us around 2,200 kWh of mains electricity so far this year.</w:t>
            </w:r>
          </w:p>
          <w:p>
            <w:pPr>
              <w:pStyle w:val="Normal"/>
              <w:widowControl w:val="false"/>
              <w:tabs>
                <w:tab w:val="clear" w:pos="720"/>
                <w:tab w:val="left" w:pos="317" w:leader="none"/>
              </w:tabs>
              <w:bidi w:val="0"/>
              <w:spacing w:lineRule="auto" w:line="240" w:before="57" w:after="113"/>
              <w:rPr>
                <w:rFonts w:ascii="Arial" w:hAnsi="Arial"/>
              </w:rPr>
            </w:pPr>
            <w:r>
              <w:rPr>
                <w:rFonts w:ascii="Arial" w:hAnsi="Arial"/>
                <w:b/>
                <w:bCs/>
              </w:rPr>
              <w:t>Water</w:t>
            </w:r>
            <w:r>
              <w:rPr>
                <w:rFonts w:ascii="Arial" w:hAnsi="Arial"/>
              </w:rPr>
              <w:t xml:space="preserve"> consumption – showed an extra use of water during March 2026.</w:t>
            </w:r>
          </w:p>
          <w:p>
            <w:pPr>
              <w:pStyle w:val="Normal"/>
              <w:widowControl w:val="false"/>
              <w:tabs>
                <w:tab w:val="clear" w:pos="720"/>
                <w:tab w:val="left" w:pos="317" w:leader="none"/>
              </w:tabs>
              <w:bidi w:val="0"/>
              <w:spacing w:lineRule="auto" w:line="240" w:before="57" w:after="113"/>
              <w:rPr>
                <w:rFonts w:ascii="Arial" w:hAnsi="Arial"/>
              </w:rPr>
            </w:pPr>
            <w:r>
              <w:rPr>
                <w:rFonts w:ascii="Arial" w:hAnsi="Arial"/>
                <w:b/>
                <w:bCs/>
              </w:rPr>
              <w:t>House</w:t>
            </w:r>
            <w:r>
              <w:rPr>
                <w:rFonts w:ascii="Arial" w:hAnsi="Arial"/>
              </w:rPr>
              <w:t xml:space="preserve"> electricity consumption has increased between January and March this year compared to last year, but the April usage is similar to last year, Gas consumption is down by around 9% on last year</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eastAsia="Arial" w:cs="Arial"/>
                <w:sz w:val="18"/>
                <w:szCs w:val="18"/>
              </w:rPr>
            </w:pPr>
            <w:r>
              <w:rPr>
                <w:rFonts w:eastAsia="Arial" w:cs="Arial" w:ascii="Arial" w:hAnsi="Arial"/>
                <w:sz w:val="18"/>
                <w:szCs w:val="18"/>
              </w:rPr>
            </w:r>
          </w:p>
        </w:tc>
      </w:tr>
      <w:tr>
        <w:trPr>
          <w:trHeight w:val="1982" w:hRule="atLeast"/>
        </w:trPr>
        <w:tc>
          <w:tcPr>
            <w:tcW w:w="1740" w:type="dxa"/>
            <w:vMerge w:val="restart"/>
            <w:tcBorders>
              <w:top w:val="single" w:sz="4" w:space="0" w:color="000000"/>
              <w:left w:val="single" w:sz="4" w:space="0" w:color="000000"/>
            </w:tcBorders>
            <w:shd w:color="auto" w:fill="FFFFFF" w:val="clear"/>
          </w:tcPr>
          <w:p>
            <w:pPr>
              <w:pStyle w:val="Normal"/>
              <w:widowControl w:val="false"/>
              <w:spacing w:lineRule="auto" w:line="240" w:before="57" w:after="0"/>
              <w:rPr>
                <w:rFonts w:ascii="Arial" w:hAnsi="Arial" w:eastAsia="Arial" w:cs="Arial"/>
                <w:b/>
                <w:sz w:val="21"/>
                <w:szCs w:val="21"/>
              </w:rPr>
            </w:pPr>
            <w:r>
              <w:rPr>
                <w:rFonts w:eastAsia="Arial" w:cs="Arial" w:ascii="Arial" w:hAnsi="Arial"/>
                <w:b/>
                <w:sz w:val="21"/>
                <w:szCs w:val="21"/>
              </w:rPr>
              <w:t>6. Centre Manager's Report</w:t>
            </w:r>
          </w:p>
        </w:tc>
        <w:tc>
          <w:tcPr>
            <w:tcW w:w="7027" w:type="dxa"/>
            <w:tcBorders>
              <w:top w:val="single" w:sz="4" w:space="0" w:color="000000"/>
              <w:left w:val="single" w:sz="4" w:space="0" w:color="000000"/>
            </w:tcBorders>
            <w:shd w:color="auto" w:fill="FFFFFF" w:val="clear"/>
          </w:tcPr>
          <w:p>
            <w:pPr>
              <w:pStyle w:val="Normal"/>
              <w:widowControl w:val="false"/>
              <w:bidi w:val="0"/>
              <w:spacing w:lineRule="atLeast" w:line="100" w:before="57" w:after="57"/>
              <w:ind w:hanging="0" w:left="57"/>
              <w:rPr>
                <w:color w:val="000000"/>
              </w:rPr>
            </w:pPr>
            <w:r>
              <w:rPr>
                <w:rFonts w:eastAsia="Arial" w:cs="Arial" w:ascii="Arial" w:hAnsi="Arial"/>
                <w:color w:val="000000"/>
              </w:rPr>
              <w:t xml:space="preserve">6.1.(a) </w:t>
            </w:r>
            <w:r>
              <w:rPr>
                <w:rFonts w:eastAsia="Arial" w:cs="Arial" w:ascii="Arial" w:hAnsi="Arial"/>
                <w:b/>
                <w:bCs/>
                <w:color w:val="000000"/>
              </w:rPr>
              <w:t>Centre report:</w:t>
            </w:r>
            <w:r>
              <w:rPr>
                <w:rFonts w:eastAsia="Arial" w:cs="Arial" w:ascii="Arial" w:hAnsi="Arial"/>
                <w:color w:val="000000"/>
              </w:rPr>
              <w:t xml:space="preserve"> Jim’s report was issued prior to the meeting. There were 3 new groups: Dominion City – monthly on Saturdays Living Springs Outreach and Sequence Dance Group.</w:t>
            </w:r>
          </w:p>
          <w:p>
            <w:pPr>
              <w:pStyle w:val="Normal"/>
              <w:widowControl w:val="false"/>
              <w:spacing w:lineRule="atLeast" w:line="100" w:before="57" w:after="57"/>
              <w:ind w:hanging="0" w:left="57"/>
              <w:rPr>
                <w:color w:val="000000"/>
              </w:rPr>
            </w:pPr>
            <w:r>
              <w:rPr>
                <w:rFonts w:eastAsia="Arial" w:cs="Arial" w:ascii="Arial" w:hAnsi="Arial"/>
                <w:color w:val="000000"/>
              </w:rPr>
              <w:t>The revised Office situation is that Carol's hours are Monday and Tuesday 9am-3pm and Friday 9am-2pm.. Jim and Carol will still stand-in for each other if necessary. from 1 April 2026, Jim operates from 8am to 2pm Mondays to Thursdays.</w:t>
            </w:r>
          </w:p>
          <w:p>
            <w:pPr>
              <w:pStyle w:val="Normal"/>
              <w:widowControl w:val="false"/>
              <w:bidi w:val="0"/>
              <w:spacing w:lineRule="atLeast" w:line="100" w:before="57" w:after="57"/>
              <w:ind w:hanging="0" w:left="57"/>
              <w:rPr>
                <w:color w:val="000000"/>
              </w:rPr>
            </w:pPr>
            <w:r>
              <w:rPr>
                <w:rFonts w:eastAsia="Arial" w:cs="Arial" w:ascii="Arial" w:hAnsi="Arial"/>
                <w:color w:val="000000"/>
              </w:rPr>
              <w:t>Jim highlighted compliance issues dealt with - building Insurance Contents, Employees Insurance &amp; Public liability Insurance</w:t>
            </w:r>
          </w:p>
        </w:tc>
        <w:tc>
          <w:tcPr>
            <w:tcW w:w="1493" w:type="dxa"/>
            <w:tcBorders>
              <w:top w:val="single" w:sz="4" w:space="0" w:color="000000"/>
              <w:left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color w:val="000000"/>
              </w:rPr>
            </w:pPr>
            <w:r>
              <w:rPr>
                <w:rFonts w:eastAsia="Arial" w:cs="Arial" w:ascii="Arial" w:hAnsi="Arial"/>
                <w:color w:val="000000"/>
                <w:sz w:val="18"/>
                <w:szCs w:val="18"/>
              </w:rPr>
              <w:t>Peter to send out PDF version of Manager’s report</w:t>
            </w:r>
          </w:p>
        </w:tc>
      </w:tr>
      <w:tr>
        <w:trPr>
          <w:trHeight w:val="974" w:hRule="atLeast"/>
        </w:trPr>
        <w:tc>
          <w:tcPr>
            <w:tcW w:w="1740" w:type="dxa"/>
            <w:vMerge w:val="continue"/>
            <w:tcBorders>
              <w:left w:val="single" w:sz="4" w:space="0" w:color="000000"/>
            </w:tcBorders>
            <w:shd w:color="auto" w:fill="FFFFFF" w:val="clear"/>
          </w:tcPr>
          <w:p>
            <w:pPr>
              <w:pStyle w:val="Normal"/>
              <w:widowControl w:val="false"/>
              <w:spacing w:lineRule="auto" w:line="240" w:before="57" w:after="0"/>
              <w:rPr>
                <w:rFonts w:ascii="Arial" w:hAnsi="Arial" w:eastAsia="Arial" w:cs="Arial"/>
                <w:b/>
                <w:sz w:val="21"/>
                <w:szCs w:val="21"/>
              </w:rPr>
            </w:pPr>
            <w:r>
              <w:rPr>
                <w:rFonts w:eastAsia="Arial" w:cs="Arial" w:ascii="Arial" w:hAnsi="Arial"/>
                <w:b/>
                <w:sz w:val="21"/>
                <w:szCs w:val="21"/>
              </w:rPr>
            </w:r>
          </w:p>
        </w:tc>
        <w:tc>
          <w:tcPr>
            <w:tcW w:w="7027" w:type="dxa"/>
            <w:tcBorders>
              <w:left w:val="single" w:sz="4" w:space="0" w:color="000000"/>
            </w:tcBorders>
            <w:shd w:color="auto" w:fill="FFFFFF" w:val="clear"/>
          </w:tcPr>
          <w:p>
            <w:pPr>
              <w:pStyle w:val="Normal"/>
              <w:widowControl w:val="false"/>
              <w:suppressAutoHyphens w:val="true"/>
              <w:bidi w:val="0"/>
              <w:spacing w:lineRule="atLeast" w:line="100" w:before="57" w:after="57"/>
              <w:ind w:hanging="0" w:left="113" w:right="0"/>
              <w:jc w:val="left"/>
              <w:rPr>
                <w:rFonts w:ascii="Arial" w:hAnsi="Arial"/>
              </w:rPr>
            </w:pPr>
            <w:r>
              <w:rPr>
                <w:rFonts w:eastAsia="Arial" w:cs="Arial" w:ascii="Arial" w:hAnsi="Arial"/>
                <w:b w:val="false"/>
                <w:bCs w:val="false"/>
                <w:color w:val="000000"/>
              </w:rPr>
              <w:t>6.1</w:t>
            </w:r>
            <w:r>
              <w:rPr>
                <w:rFonts w:eastAsia="Arial" w:cs="Arial" w:ascii="Arial" w:hAnsi="Arial"/>
                <w:b w:val="false"/>
                <w:bCs w:val="false"/>
                <w:color w:val="C9211E"/>
              </w:rPr>
              <w:t>.</w:t>
            </w:r>
            <w:r>
              <w:rPr>
                <w:rFonts w:eastAsia="Arial" w:cs="Arial" w:ascii="Arial" w:hAnsi="Arial"/>
                <w:b w:val="false"/>
                <w:bCs w:val="false"/>
                <w:color w:val="666666"/>
              </w:rPr>
              <w:t>(</w:t>
            </w:r>
            <w:r>
              <w:rPr>
                <w:rFonts w:eastAsia="Arial" w:cs="Arial" w:ascii="Arial" w:hAnsi="Arial"/>
                <w:b w:val="false"/>
                <w:bCs w:val="false"/>
                <w:color w:val="000000"/>
              </w:rPr>
              <w:t xml:space="preserve">b) </w:t>
            </w:r>
            <w:r>
              <w:rPr>
                <w:rFonts w:eastAsia="Arial" w:cs="Arial" w:ascii="Arial" w:hAnsi="Arial"/>
                <w:b/>
                <w:bCs/>
                <w:color w:val="000000"/>
              </w:rPr>
              <w:t>Bookings data:</w:t>
            </w:r>
            <w:r>
              <w:rPr>
                <w:rFonts w:eastAsia="Arial" w:cs="Arial" w:ascii="Arial" w:hAnsi="Arial"/>
                <w:color w:val="000000"/>
                <w:shd w:fill="auto" w:val="clear"/>
              </w:rPr>
              <w:t xml:space="preserve"> 15</w:t>
            </w:r>
            <w:r>
              <w:rPr>
                <w:rFonts w:eastAsia="Arial" w:cs="Arial" w:ascii="Arial" w:hAnsi="Arial"/>
                <w:color w:val="FF0000"/>
                <w:shd w:fill="auto" w:val="clear"/>
              </w:rPr>
              <w:t xml:space="preserve"> </w:t>
            </w:r>
            <w:r>
              <w:rPr>
                <w:rFonts w:eastAsia="Arial" w:cs="Arial" w:ascii="Arial" w:hAnsi="Arial"/>
                <w:color w:val="000000"/>
                <w:shd w:fill="auto" w:val="clear"/>
              </w:rPr>
              <w:t>enquiries were reported, of which 2 were successfully accommodated, and 3 are still to be confirmed but 10 had to be refused because of lack of availability.</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cs="Arial"/>
                <w:color w:val="000000"/>
                <w:sz w:val="18"/>
                <w:szCs w:val="18"/>
              </w:rPr>
            </w:pPr>
            <w:r>
              <w:rPr>
                <w:rFonts w:cs="Arial" w:ascii="Arial" w:hAnsi="Arial"/>
                <w:color w:val="000000"/>
                <w:sz w:val="18"/>
                <w:szCs w:val="18"/>
              </w:rPr>
            </w:r>
          </w:p>
          <w:p>
            <w:pPr>
              <w:pStyle w:val="Normal"/>
              <w:widowControl w:val="false"/>
              <w:snapToGrid w:val="false"/>
              <w:spacing w:lineRule="atLeast" w:line="100" w:before="0" w:after="120"/>
              <w:jc w:val="center"/>
              <w:rPr>
                <w:rFonts w:ascii="Arial" w:hAnsi="Arial" w:cs="Arial"/>
                <w:color w:val="000000"/>
                <w:sz w:val="18"/>
                <w:szCs w:val="18"/>
              </w:rPr>
            </w:pPr>
            <w:r>
              <w:rPr>
                <w:rFonts w:cs="Arial" w:ascii="Arial" w:hAnsi="Arial"/>
                <w:color w:val="000000"/>
                <w:sz w:val="18"/>
                <w:szCs w:val="18"/>
              </w:rPr>
            </w:r>
          </w:p>
        </w:tc>
      </w:tr>
      <w:tr>
        <w:trPr>
          <w:trHeight w:val="630" w:hRule="atLeast"/>
        </w:trPr>
        <w:tc>
          <w:tcPr>
            <w:tcW w:w="1740" w:type="dxa"/>
            <w:vMerge w:val="continue"/>
            <w:tcBorders>
              <w:left w:val="single" w:sz="4" w:space="0" w:color="000000"/>
            </w:tcBorders>
            <w:shd w:color="auto" w:fill="FFFFFF" w:val="clear"/>
          </w:tcPr>
          <w:p>
            <w:pPr>
              <w:pStyle w:val="Normal"/>
              <w:widowControl w:val="false"/>
              <w:spacing w:lineRule="auto" w:line="240" w:before="57" w:after="0"/>
              <w:rPr>
                <w:rFonts w:ascii="Arial" w:hAnsi="Arial" w:eastAsia="Arial" w:cs="Arial"/>
                <w:b/>
                <w:sz w:val="21"/>
                <w:szCs w:val="21"/>
              </w:rPr>
            </w:pPr>
            <w:r>
              <w:rPr>
                <w:rFonts w:eastAsia="Arial" w:cs="Arial" w:ascii="Arial" w:hAnsi="Arial"/>
                <w:b/>
                <w:sz w:val="21"/>
                <w:szCs w:val="21"/>
              </w:rPr>
            </w:r>
          </w:p>
        </w:tc>
        <w:tc>
          <w:tcPr>
            <w:tcW w:w="7027" w:type="dxa"/>
            <w:tcBorders>
              <w:left w:val="single" w:sz="4" w:space="0" w:color="000000"/>
            </w:tcBorders>
            <w:shd w:color="auto" w:fill="FFFFFF" w:val="clear"/>
          </w:tcPr>
          <w:p>
            <w:pPr>
              <w:pStyle w:val="Normal"/>
              <w:widowControl w:val="false"/>
              <w:suppressAutoHyphens w:val="true"/>
              <w:bidi w:val="0"/>
              <w:spacing w:lineRule="atLeast" w:line="100" w:before="57" w:after="57"/>
              <w:ind w:hanging="0" w:left="113" w:right="170"/>
              <w:jc w:val="left"/>
              <w:rPr>
                <w:rFonts w:ascii="Arial" w:hAnsi="Arial"/>
              </w:rPr>
            </w:pPr>
            <w:r>
              <w:rPr>
                <w:rFonts w:eastAsia="Arial" w:cs="Arial" w:ascii="Arial" w:hAnsi="Arial"/>
                <w:color w:val="000000"/>
              </w:rPr>
              <w:t xml:space="preserve">6.2. </w:t>
            </w:r>
            <w:r>
              <w:rPr>
                <w:rFonts w:eastAsia="Arial" w:cs="Arial" w:ascii="Arial" w:hAnsi="Arial"/>
                <w:b/>
                <w:bCs/>
                <w:color w:val="000000"/>
              </w:rPr>
              <w:t>Complaints report:</w:t>
            </w:r>
            <w:r>
              <w:rPr>
                <w:rFonts w:eastAsia="Arial" w:cs="Arial" w:ascii="Arial" w:hAnsi="Arial"/>
                <w:color w:val="000000"/>
              </w:rPr>
              <w:t xml:space="preserve"> No complaints have been received in this two month period.</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before="0" w:after="0"/>
              <w:jc w:val="center"/>
              <w:rPr>
                <w:rFonts w:ascii="Arial" w:hAnsi="Arial" w:cs="Arial"/>
                <w:color w:val="000000"/>
                <w:sz w:val="18"/>
                <w:szCs w:val="18"/>
              </w:rPr>
            </w:pPr>
            <w:r>
              <w:rPr>
                <w:rFonts w:cs="Arial" w:ascii="Arial" w:hAnsi="Arial"/>
                <w:color w:val="000000"/>
                <w:sz w:val="18"/>
                <w:szCs w:val="18"/>
              </w:rPr>
            </w:r>
          </w:p>
        </w:tc>
      </w:tr>
      <w:tr>
        <w:trPr>
          <w:trHeight w:val="630" w:hRule="atLeast"/>
        </w:trPr>
        <w:tc>
          <w:tcPr>
            <w:tcW w:w="1740" w:type="dxa"/>
            <w:vMerge w:val="continue"/>
            <w:tcBorders>
              <w:left w:val="single" w:sz="4" w:space="0" w:color="000000"/>
            </w:tcBorders>
            <w:shd w:color="auto" w:fill="FFFFFF" w:val="clear"/>
          </w:tcPr>
          <w:p>
            <w:pPr>
              <w:pStyle w:val="Normal"/>
              <w:widowControl w:val="false"/>
              <w:spacing w:lineRule="auto" w:line="240" w:before="57" w:after="0"/>
              <w:rPr>
                <w:rFonts w:ascii="Arial" w:hAnsi="Arial" w:eastAsia="Arial" w:cs="Arial"/>
                <w:b/>
                <w:sz w:val="21"/>
                <w:szCs w:val="21"/>
              </w:rPr>
            </w:pPr>
            <w:r>
              <w:rPr>
                <w:rFonts w:eastAsia="Arial" w:cs="Arial" w:ascii="Arial" w:hAnsi="Arial"/>
                <w:b/>
                <w:sz w:val="21"/>
                <w:szCs w:val="21"/>
              </w:rPr>
            </w:r>
          </w:p>
        </w:tc>
        <w:tc>
          <w:tcPr>
            <w:tcW w:w="7027" w:type="dxa"/>
            <w:tcBorders>
              <w:left w:val="single" w:sz="4" w:space="0" w:color="000000"/>
            </w:tcBorders>
            <w:shd w:color="auto" w:fill="FFFFFF" w:val="clear"/>
          </w:tcPr>
          <w:p>
            <w:pPr>
              <w:pStyle w:val="Normal"/>
              <w:widowControl w:val="false"/>
              <w:suppressAutoHyphens w:val="true"/>
              <w:bidi w:val="0"/>
              <w:spacing w:lineRule="atLeast" w:line="100" w:before="57" w:after="57"/>
              <w:ind w:hanging="0" w:left="113" w:right="57"/>
              <w:jc w:val="left"/>
              <w:rPr>
                <w:rFonts w:ascii="Arial" w:hAnsi="Arial"/>
              </w:rPr>
            </w:pPr>
            <w:r>
              <w:rPr>
                <w:rFonts w:eastAsia="Arial" w:cs="Arial" w:ascii="Arial" w:hAnsi="Arial"/>
                <w:color w:val="000000"/>
              </w:rPr>
              <w:t xml:space="preserve">6.3. </w:t>
            </w:r>
            <w:r>
              <w:rPr>
                <w:rFonts w:eastAsia="Arial" w:cs="Arial" w:ascii="Arial" w:hAnsi="Arial"/>
                <w:b/>
                <w:bCs/>
                <w:color w:val="000000"/>
              </w:rPr>
              <w:t>Health &amp; Safety report:</w:t>
            </w:r>
            <w:r>
              <w:rPr>
                <w:rFonts w:eastAsia="Arial" w:cs="Arial" w:ascii="Arial" w:hAnsi="Arial"/>
                <w:b w:val="false"/>
                <w:bCs w:val="false"/>
                <w:color w:val="000000"/>
              </w:rPr>
              <w:t xml:space="preserve"> Jim’s report has been issued prior to the meeting. The new committee have met and no items of concern were reported. Training - Carol &amp; Kath have successfully completed the level 2 kitchen hygiene course. Eric Bulmer would also complete level 1 &amp; 2 Tool Box Talks to match Malcolm’s training. Carol will manage the kitchens to maintain the safety standards</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color w:val="000000"/>
              </w:rPr>
            </w:pPr>
            <w:r>
              <w:rPr>
                <w:rFonts w:eastAsia="Arial" w:cs="Arial" w:ascii="Arial" w:hAnsi="Arial"/>
                <w:color w:val="000000"/>
                <w:sz w:val="18"/>
                <w:szCs w:val="18"/>
              </w:rPr>
              <w:t>Jim to send H&amp;S meeting minutes to Exec group</w:t>
            </w:r>
          </w:p>
        </w:tc>
      </w:tr>
      <w:tr>
        <w:trPr>
          <w:trHeight w:val="630" w:hRule="atLeast"/>
        </w:trPr>
        <w:tc>
          <w:tcPr>
            <w:tcW w:w="1740" w:type="dxa"/>
            <w:vMerge w:val="continue"/>
            <w:tcBorders>
              <w:top w:val="single" w:sz="4" w:space="0" w:color="000000"/>
              <w:left w:val="single" w:sz="4" w:space="0" w:color="000000"/>
            </w:tcBorders>
            <w:shd w:color="auto" w:fill="FFFFFF" w:val="clear"/>
          </w:tcPr>
          <w:p>
            <w:pPr>
              <w:pStyle w:val="Normal"/>
              <w:widowControl w:val="false"/>
              <w:spacing w:lineRule="atLeast" w:line="100" w:before="0" w:after="0"/>
              <w:rPr>
                <w:rFonts w:ascii="Arial" w:hAnsi="Arial" w:eastAsia="Arial" w:cs="Arial"/>
                <w:b/>
                <w:sz w:val="21"/>
                <w:szCs w:val="21"/>
              </w:rPr>
            </w:pPr>
            <w:r>
              <w:rPr>
                <w:rFonts w:eastAsia="Arial" w:cs="Arial" w:ascii="Arial" w:hAnsi="Arial"/>
                <w:b/>
                <w:sz w:val="21"/>
                <w:szCs w:val="21"/>
              </w:rPr>
            </w:r>
          </w:p>
        </w:tc>
        <w:tc>
          <w:tcPr>
            <w:tcW w:w="7027" w:type="dxa"/>
            <w:tcBorders>
              <w:left w:val="single" w:sz="4" w:space="0" w:color="000000"/>
              <w:bottom w:val="single" w:sz="4" w:space="0" w:color="000000"/>
            </w:tcBorders>
            <w:shd w:color="auto" w:fill="FFFFFF" w:val="clear"/>
          </w:tcPr>
          <w:p>
            <w:pPr>
              <w:pStyle w:val="Normal"/>
              <w:widowControl w:val="false"/>
              <w:suppressAutoHyphens w:val="true"/>
              <w:bidi w:val="0"/>
              <w:spacing w:lineRule="atLeast" w:line="100" w:before="57" w:after="57"/>
              <w:ind w:hanging="0" w:left="113" w:right="57"/>
              <w:jc w:val="left"/>
              <w:rPr>
                <w:rFonts w:ascii="Arial" w:hAnsi="Arial"/>
              </w:rPr>
            </w:pPr>
            <w:r>
              <w:rPr>
                <w:rFonts w:eastAsia="Arial" w:cs="Arial" w:ascii="Arial" w:hAnsi="Arial"/>
                <w:b w:val="false"/>
                <w:bCs w:val="false"/>
                <w:color w:val="000000"/>
              </w:rPr>
              <w:t xml:space="preserve">6.4. </w:t>
            </w:r>
            <w:r>
              <w:rPr>
                <w:rFonts w:eastAsia="Arial" w:cs="Arial" w:ascii="Arial" w:hAnsi="Arial"/>
                <w:b/>
                <w:bCs/>
                <w:color w:val="000000"/>
              </w:rPr>
              <w:t>Compliance report</w:t>
            </w:r>
            <w:r>
              <w:rPr>
                <w:rFonts w:eastAsia="Arial" w:cs="Arial" w:ascii="Arial" w:hAnsi="Arial"/>
                <w:b w:val="false"/>
                <w:bCs w:val="false"/>
                <w:color w:val="000000"/>
              </w:rPr>
              <w:t>: as detailed in Jim’s Centre report.</w:t>
            </w:r>
          </w:p>
        </w:tc>
        <w:tc>
          <w:tcPr>
            <w:tcW w:w="1493" w:type="dxa"/>
            <w:tcBorders>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cs="Arial"/>
                <w:color w:val="000000"/>
                <w:sz w:val="18"/>
                <w:szCs w:val="18"/>
              </w:rPr>
            </w:pPr>
            <w:r>
              <w:rPr>
                <w:rFonts w:cs="Arial" w:ascii="Arial" w:hAnsi="Arial"/>
                <w:color w:val="000000"/>
                <w:sz w:val="18"/>
                <w:szCs w:val="18"/>
              </w:rPr>
            </w:r>
          </w:p>
        </w:tc>
      </w:tr>
      <w:tr>
        <w:trPr>
          <w:trHeight w:val="634"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bidi w:val="0"/>
              <w:spacing w:lineRule="auto" w:line="240" w:before="57" w:after="0"/>
              <w:rPr>
                <w:color w:val="000000"/>
              </w:rPr>
            </w:pPr>
            <w:r>
              <w:rPr>
                <w:rFonts w:eastAsia="Arial" w:cs="Arial" w:ascii="Arial" w:hAnsi="Arial"/>
                <w:b/>
                <w:sz w:val="21"/>
                <w:szCs w:val="21"/>
              </w:rPr>
              <w:t xml:space="preserve">7. </w:t>
            </w:r>
            <w:r>
              <w:rPr>
                <w:rFonts w:eastAsia="Arial" w:cs="Arial" w:ascii="Arial" w:hAnsi="Arial"/>
                <w:b/>
                <w:color w:val="000000"/>
                <w:sz w:val="21"/>
                <w:szCs w:val="21"/>
              </w:rPr>
              <w:t>Succession planning</w:t>
            </w:r>
          </w:p>
        </w:tc>
        <w:tc>
          <w:tcPr>
            <w:tcW w:w="7027" w:type="dxa"/>
            <w:tcBorders>
              <w:left w:val="single" w:sz="4" w:space="0" w:color="000000"/>
              <w:bottom w:val="single" w:sz="4" w:space="0" w:color="000000"/>
            </w:tcBorders>
            <w:shd w:color="auto" w:fill="FFFFFF" w:val="clear"/>
          </w:tcPr>
          <w:p>
            <w:pPr>
              <w:pStyle w:val="Normal"/>
              <w:widowControl w:val="false"/>
              <w:bidi w:val="0"/>
              <w:spacing w:lineRule="auto" w:line="240" w:before="57" w:after="113"/>
              <w:ind w:hanging="0" w:left="57" w:right="57"/>
              <w:rPr>
                <w:rFonts w:ascii="Arial" w:hAnsi="Arial"/>
              </w:rPr>
            </w:pPr>
            <w:r>
              <w:rPr>
                <w:rFonts w:ascii="Arial" w:hAnsi="Arial"/>
              </w:rPr>
              <w:t xml:space="preserve">7.1. </w:t>
            </w:r>
            <w:r>
              <w:rPr>
                <w:rFonts w:ascii="Arial" w:hAnsi="Arial"/>
                <w:b/>
                <w:bCs/>
              </w:rPr>
              <w:t>Succession planning</w:t>
            </w:r>
            <w:r>
              <w:rPr>
                <w:rFonts w:ascii="Arial" w:hAnsi="Arial"/>
                <w:b w:val="false"/>
                <w:bCs w:val="false"/>
              </w:rPr>
              <w:t xml:space="preserve">: When we took over and formed an Executive Group of Trustees (Chair, Treasurer and Secretary) the Association had been efficiently organised but there was little documentation about what the key roles of the Association were and when key decisions and submission of documents were required. We have established an </w:t>
            </w:r>
            <w:r>
              <w:rPr>
                <w:rFonts w:ascii="Arial" w:hAnsi="Arial"/>
                <w:b/>
                <w:bCs/>
              </w:rPr>
              <w:t>Annual Timetable</w:t>
            </w:r>
            <w:r>
              <w:rPr>
                <w:rFonts w:ascii="Arial" w:hAnsi="Arial"/>
                <w:b w:val="false"/>
                <w:bCs w:val="false"/>
              </w:rPr>
              <w:t xml:space="preserve"> of events and recorded the activities that we each undertake. The Exec group considered that this information should be shared with all Trustees and we would like to do this by inviting you to shadow at least one activity with us from a Succession planning document as succession is a vital part of the future sustainability of our organisation. I will send to all Trustees following the meeting.</w:t>
            </w:r>
          </w:p>
        </w:tc>
        <w:tc>
          <w:tcPr>
            <w:tcW w:w="1493" w:type="dxa"/>
            <w:tcBorders>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color w:val="000000"/>
              </w:rPr>
            </w:pPr>
            <w:r>
              <w:rPr>
                <w:rFonts w:eastAsia="Arial" w:cs="Arial" w:ascii="Arial" w:hAnsi="Arial"/>
                <w:color w:val="000000"/>
                <w:sz w:val="18"/>
                <w:szCs w:val="18"/>
              </w:rPr>
              <w:t>Peter to send out Succession planning file</w:t>
            </w:r>
          </w:p>
        </w:tc>
      </w:tr>
      <w:tr>
        <w:trPr>
          <w:trHeight w:val="634" w:hRule="atLeast"/>
        </w:trPr>
        <w:tc>
          <w:tcPr>
            <w:tcW w:w="1740" w:type="dxa"/>
            <w:tcBorders>
              <w:left w:val="single" w:sz="4" w:space="0" w:color="000000"/>
            </w:tcBorders>
            <w:shd w:color="auto" w:fill="FFFFFF" w:val="clear"/>
          </w:tcPr>
          <w:p>
            <w:pPr>
              <w:pStyle w:val="Normal"/>
              <w:widowControl w:val="false"/>
              <w:spacing w:lineRule="auto" w:line="240" w:before="57" w:after="0"/>
              <w:rPr>
                <w:color w:val="000000"/>
              </w:rPr>
            </w:pPr>
            <w:r>
              <w:rPr>
                <w:rFonts w:eastAsia="Arial" w:cs="Arial" w:ascii="Arial" w:hAnsi="Arial"/>
                <w:b/>
                <w:color w:val="000000"/>
                <w:sz w:val="21"/>
                <w:szCs w:val="21"/>
              </w:rPr>
              <w:t>8. Secretary’s report</w:t>
            </w:r>
          </w:p>
        </w:tc>
        <w:tc>
          <w:tcPr>
            <w:tcW w:w="7027" w:type="dxa"/>
            <w:tcBorders>
              <w:left w:val="single" w:sz="4" w:space="0" w:color="000000"/>
            </w:tcBorders>
            <w:shd w:color="auto" w:fill="FFFFFF" w:val="clear"/>
          </w:tcPr>
          <w:p>
            <w:pPr>
              <w:pStyle w:val="Normal"/>
              <w:widowControl w:val="false"/>
              <w:bidi w:val="0"/>
              <w:spacing w:lineRule="auto" w:line="240" w:before="57" w:after="57"/>
              <w:ind w:hanging="0" w:left="57" w:right="57"/>
              <w:rPr>
                <w:rFonts w:ascii="Arial" w:hAnsi="Arial"/>
              </w:rPr>
            </w:pPr>
            <w:r>
              <w:rPr>
                <w:rFonts w:eastAsia="Arial" w:cs="Arial" w:ascii="Arial" w:hAnsi="Arial"/>
                <w:color w:val="000000"/>
              </w:rPr>
              <w:t xml:space="preserve">8.1. </w:t>
            </w:r>
            <w:r>
              <w:rPr>
                <w:rFonts w:eastAsia="Arial" w:cs="Arial" w:ascii="Arial" w:hAnsi="Arial"/>
                <w:b/>
                <w:bCs/>
                <w:color w:val="000000"/>
              </w:rPr>
              <w:t>Website &amp; Social media statistics</w:t>
            </w:r>
            <w:r>
              <w:rPr>
                <w:rFonts w:eastAsia="Arial" w:cs="Arial" w:ascii="Arial" w:hAnsi="Arial"/>
                <w:color w:val="000000"/>
              </w:rPr>
              <w:t>: the statistics for last 3 months showed that the website viewing was 40% of last year’s statistics with over 2,600 total views</w:t>
            </w:r>
          </w:p>
          <w:p>
            <w:pPr>
              <w:pStyle w:val="Normal"/>
              <w:widowControl w:val="false"/>
              <w:bidi w:val="0"/>
              <w:spacing w:lineRule="auto" w:line="240" w:before="57" w:after="57"/>
              <w:ind w:hanging="0" w:left="57" w:right="57"/>
              <w:rPr>
                <w:rFonts w:ascii="Arial" w:hAnsi="Arial"/>
              </w:rPr>
            </w:pPr>
            <w:r>
              <w:rPr>
                <w:rFonts w:eastAsia="Arial" w:cs="Arial" w:ascii="Arial" w:hAnsi="Arial"/>
                <w:color w:val="000000"/>
              </w:rPr>
              <w:t>Facebook and Instagram presence showed that from 24th March - 26th May 2026 there have been: 9,000 views of posts by 1,500 viewers with 36 comments / likes of posts on Facebook and Instagram.</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rFonts w:ascii="Arial" w:hAnsi="Arial" w:eastAsia="Arial" w:cs="Arial"/>
                <w:sz w:val="18"/>
                <w:szCs w:val="18"/>
              </w:rPr>
            </w:pPr>
            <w:r>
              <w:rPr>
                <w:rFonts w:eastAsia="Arial" w:cs="Arial" w:ascii="Arial" w:hAnsi="Arial"/>
                <w:sz w:val="18"/>
                <w:szCs w:val="18"/>
              </w:rPr>
            </w:r>
          </w:p>
        </w:tc>
      </w:tr>
      <w:tr>
        <w:trPr>
          <w:trHeight w:val="1284" w:hRule="atLeast"/>
        </w:trPr>
        <w:tc>
          <w:tcPr>
            <w:tcW w:w="1740" w:type="dxa"/>
            <w:tcBorders>
              <w:left w:val="single" w:sz="4" w:space="0" w:color="000000"/>
            </w:tcBorders>
            <w:shd w:color="auto" w:fill="FFFFFF" w:val="clear"/>
          </w:tcPr>
          <w:p>
            <w:pPr>
              <w:pStyle w:val="Normal"/>
              <w:widowControl w:val="false"/>
              <w:spacing w:lineRule="auto" w:line="240" w:before="57" w:after="0"/>
              <w:rPr>
                <w:color w:val="000000"/>
              </w:rPr>
            </w:pPr>
            <w:r>
              <w:rPr>
                <w:color w:val="000000"/>
              </w:rPr>
            </w:r>
          </w:p>
        </w:tc>
        <w:tc>
          <w:tcPr>
            <w:tcW w:w="7027" w:type="dxa"/>
            <w:tcBorders>
              <w:left w:val="single" w:sz="4" w:space="0" w:color="000000"/>
            </w:tcBorders>
            <w:shd w:color="auto" w:fill="FFFFFF" w:val="clear"/>
          </w:tcPr>
          <w:p>
            <w:pPr>
              <w:pStyle w:val="Normal"/>
              <w:widowControl w:val="false"/>
              <w:bidi w:val="0"/>
              <w:spacing w:lineRule="atLeast" w:line="100" w:before="57" w:after="137"/>
              <w:ind w:hanging="0" w:left="57" w:right="57"/>
              <w:rPr>
                <w:rFonts w:ascii="Arial" w:hAnsi="Arial"/>
              </w:rPr>
            </w:pPr>
            <w:r>
              <w:rPr>
                <w:rFonts w:ascii="Arial" w:hAnsi="Arial"/>
              </w:rPr>
              <w:t xml:space="preserve">8.2. </w:t>
            </w:r>
            <w:r>
              <w:rPr>
                <w:rFonts w:ascii="Arial" w:hAnsi="Arial"/>
                <w:b/>
                <w:bCs/>
              </w:rPr>
              <w:t>Grants update</w:t>
            </w:r>
            <w:r>
              <w:rPr>
                <w:rFonts w:ascii="Arial" w:hAnsi="Arial"/>
              </w:rPr>
              <w:t>: the disappointing news is that we were unsuccessful with applications for Wellbeing support to the Mayor’s Opportunity Fund for approx £9,860; School House developments to ScrewFix direct for £5,000 and a Wellbeing hub at the Centre to Public Health Thriving Together for £74,240. We consulted Wellbeing, BLinD, DCSG and DDS again when submitting this second ‘Public Health Thriving Together’ bid.</w:t>
            </w:r>
          </w:p>
          <w:p>
            <w:pPr>
              <w:pStyle w:val="Normal"/>
              <w:widowControl w:val="false"/>
              <w:bidi w:val="0"/>
              <w:spacing w:lineRule="atLeast" w:line="100" w:before="57" w:after="137"/>
              <w:ind w:hanging="0" w:left="57" w:right="57"/>
              <w:rPr>
                <w:rFonts w:ascii="Arial" w:hAnsi="Arial"/>
              </w:rPr>
            </w:pPr>
            <w:r>
              <w:rPr>
                <w:rFonts w:ascii="Arial" w:hAnsi="Arial"/>
              </w:rPr>
              <w:t>Additionally we have submitted an application for £9,000 to Durham Community Action for a Community hub to support Wellbeing. Thanks to everyone who contributed and particularly Rachael for her assistance.</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rFonts w:ascii="Arial" w:hAnsi="Arial" w:eastAsia="Arial" w:cs="Arial"/>
                <w:sz w:val="18"/>
                <w:szCs w:val="18"/>
              </w:rPr>
            </w:pPr>
            <w:r>
              <w:rPr>
                <w:rFonts w:eastAsia="Arial" w:cs="Arial" w:ascii="Arial" w:hAnsi="Arial"/>
                <w:sz w:val="18"/>
                <w:szCs w:val="18"/>
              </w:rPr>
            </w:r>
          </w:p>
        </w:tc>
      </w:tr>
      <w:tr>
        <w:trPr>
          <w:trHeight w:val="634" w:hRule="atLeast"/>
        </w:trPr>
        <w:tc>
          <w:tcPr>
            <w:tcW w:w="1740" w:type="dxa"/>
            <w:tcBorders>
              <w:left w:val="single" w:sz="4" w:space="0" w:color="000000"/>
            </w:tcBorders>
            <w:shd w:color="auto" w:fill="FFFFFF" w:val="clear"/>
          </w:tcPr>
          <w:p>
            <w:pPr>
              <w:pStyle w:val="Normal"/>
              <w:widowControl w:val="false"/>
              <w:spacing w:lineRule="auto" w:line="240" w:before="57" w:after="0"/>
              <w:rPr>
                <w:color w:val="000000"/>
              </w:rPr>
            </w:pPr>
            <w:r>
              <w:rPr>
                <w:color w:val="000000"/>
              </w:rPr>
            </w:r>
          </w:p>
        </w:tc>
        <w:tc>
          <w:tcPr>
            <w:tcW w:w="7027" w:type="dxa"/>
            <w:tcBorders>
              <w:left w:val="single" w:sz="4" w:space="0" w:color="000000"/>
            </w:tcBorders>
            <w:shd w:color="auto" w:fill="FFFFFF" w:val="clear"/>
          </w:tcPr>
          <w:p>
            <w:pPr>
              <w:pStyle w:val="Normal"/>
              <w:widowControl w:val="false"/>
              <w:spacing w:lineRule="auto" w:line="240" w:before="57" w:after="57"/>
              <w:ind w:hanging="0" w:left="57" w:right="57"/>
              <w:rPr>
                <w:rFonts w:ascii="Arial" w:hAnsi="Arial"/>
              </w:rPr>
            </w:pPr>
            <w:r>
              <w:rPr>
                <w:rFonts w:ascii="Arial" w:hAnsi="Arial"/>
                <w:b w:val="false"/>
                <w:bCs w:val="false"/>
              </w:rPr>
              <w:t>8.3.</w:t>
            </w:r>
            <w:r>
              <w:rPr>
                <w:rFonts w:ascii="Arial" w:hAnsi="Arial"/>
                <w:b/>
                <w:bCs/>
              </w:rPr>
              <w:t xml:space="preserve"> Martyn’s Law</w:t>
            </w:r>
            <w:r>
              <w:rPr>
                <w:rFonts w:ascii="Arial" w:hAnsi="Arial"/>
                <w:b w:val="false"/>
                <w:bCs w:val="false"/>
              </w:rPr>
              <w:t>: an anti-terrorism procedure for community spaces which can accommodate more than 200 people. I am booked in for training on 9 June.</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uto" w:line="240" w:before="57" w:after="0"/>
              <w:jc w:val="center"/>
              <w:rPr>
                <w:rFonts w:ascii="Arial" w:hAnsi="Arial" w:eastAsia="Arial" w:cs="Arial"/>
                <w:sz w:val="18"/>
                <w:szCs w:val="18"/>
              </w:rPr>
            </w:pPr>
            <w:r>
              <w:rPr>
                <w:rFonts w:eastAsia="Arial" w:cs="Arial" w:ascii="Arial" w:hAnsi="Arial"/>
                <w:sz w:val="18"/>
                <w:szCs w:val="18"/>
              </w:rPr>
              <w:t>Peter to attend  course</w:t>
            </w:r>
          </w:p>
        </w:tc>
      </w:tr>
      <w:tr>
        <w:trPr>
          <w:trHeight w:val="634" w:hRule="atLeast"/>
        </w:trPr>
        <w:tc>
          <w:tcPr>
            <w:tcW w:w="1740" w:type="dxa"/>
            <w:tcBorders>
              <w:left w:val="single" w:sz="4" w:space="0" w:color="000000"/>
            </w:tcBorders>
            <w:shd w:color="auto" w:fill="FFFFFF" w:val="clear"/>
          </w:tcPr>
          <w:p>
            <w:pPr>
              <w:pStyle w:val="Normal"/>
              <w:widowControl w:val="false"/>
              <w:spacing w:lineRule="auto" w:line="240" w:before="57" w:after="0"/>
              <w:rPr>
                <w:color w:val="000000"/>
              </w:rPr>
            </w:pPr>
            <w:r>
              <w:rPr>
                <w:color w:val="000000"/>
              </w:rPr>
            </w:r>
          </w:p>
        </w:tc>
        <w:tc>
          <w:tcPr>
            <w:tcW w:w="7027" w:type="dxa"/>
            <w:tcBorders>
              <w:left w:val="single" w:sz="4" w:space="0" w:color="000000"/>
            </w:tcBorders>
            <w:shd w:color="auto" w:fill="FFFFFF" w:val="clear"/>
          </w:tcPr>
          <w:p>
            <w:pPr>
              <w:pStyle w:val="BodyText"/>
              <w:widowControl w:val="false"/>
              <w:suppressAutoHyphens w:val="true"/>
              <w:bidi w:val="0"/>
              <w:spacing w:lineRule="auto" w:line="240" w:before="57" w:after="142"/>
              <w:ind w:hanging="0" w:left="113" w:right="0"/>
              <w:jc w:val="left"/>
              <w:rPr>
                <w:rFonts w:ascii="Arial" w:hAnsi="Arial"/>
              </w:rPr>
            </w:pPr>
            <w:r>
              <w:rPr>
                <w:rFonts w:eastAsia="Segoe UI" w:cs="Tahoma" w:ascii="Arial" w:hAnsi="Arial"/>
                <w:color w:val="00000A"/>
                <w:kern w:val="2"/>
                <w:sz w:val="22"/>
                <w:szCs w:val="22"/>
                <w:lang w:val="en-GB" w:eastAsia="en-GB" w:bidi="ar-SA"/>
              </w:rPr>
              <w:t>8.4.</w:t>
            </w:r>
            <w:r>
              <w:rPr>
                <w:rFonts w:ascii="Arial" w:hAnsi="Arial"/>
              </w:rPr>
              <w:t xml:space="preserve"> </w:t>
            </w:r>
            <w:r>
              <w:rPr>
                <w:rFonts w:ascii="Arial" w:hAnsi="Arial"/>
                <w:b/>
                <w:bCs/>
              </w:rPr>
              <w:t>Trustee’s</w:t>
            </w:r>
            <w:r>
              <w:rPr>
                <w:rFonts w:eastAsia="Segoe UI" w:cs="Tahoma" w:ascii="Arial" w:hAnsi="Arial"/>
                <w:b/>
                <w:bCs/>
                <w:color w:val="00000A"/>
                <w:kern w:val="2"/>
                <w:sz w:val="22"/>
                <w:szCs w:val="22"/>
                <w:lang w:val="en-GB" w:eastAsia="en-GB" w:bidi="ar-SA"/>
              </w:rPr>
              <w:t xml:space="preserve"> declaration form:</w:t>
            </w:r>
            <w:r>
              <w:rPr>
                <w:rFonts w:ascii="Arial" w:hAnsi="Arial"/>
              </w:rPr>
              <w:t xml:space="preserve"> Thanks for continuing to be Trustees for another year and for the return of declaration forms (an annual requirement for the Charity Commission)</w:t>
            </w:r>
            <w:r>
              <w:rPr>
                <w:rFonts w:eastAsia="Segoe UI" w:cs="Tahoma" w:ascii="Arial" w:hAnsi="Arial"/>
                <w:b w:val="false"/>
                <w:bCs w:val="false"/>
                <w:color w:val="00000A"/>
                <w:kern w:val="2"/>
                <w:sz w:val="22"/>
                <w:szCs w:val="22"/>
                <w:lang w:val="en-GB" w:eastAsia="en-GB" w:bidi="ar-SA"/>
              </w:rPr>
              <w:t>.</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rFonts w:ascii="Arial" w:hAnsi="Arial" w:eastAsia="Arial" w:cs="Arial"/>
                <w:sz w:val="18"/>
                <w:szCs w:val="18"/>
              </w:rPr>
            </w:pPr>
            <w:r>
              <w:rPr>
                <w:rFonts w:eastAsia="Arial" w:cs="Arial" w:ascii="Arial" w:hAnsi="Arial"/>
                <w:sz w:val="18"/>
                <w:szCs w:val="18"/>
              </w:rPr>
              <w:t>Please return to Peter</w:t>
            </w:r>
          </w:p>
        </w:tc>
      </w:tr>
      <w:tr>
        <w:trPr>
          <w:trHeight w:val="634" w:hRule="atLeast"/>
        </w:trPr>
        <w:tc>
          <w:tcPr>
            <w:tcW w:w="1740" w:type="dxa"/>
            <w:tcBorders>
              <w:left w:val="single" w:sz="4" w:space="0" w:color="000000"/>
            </w:tcBorders>
            <w:shd w:color="auto" w:fill="FFFFFF" w:val="clear"/>
          </w:tcPr>
          <w:p>
            <w:pPr>
              <w:pStyle w:val="Normal"/>
              <w:widowControl w:val="false"/>
              <w:spacing w:lineRule="auto" w:line="240" w:before="57" w:after="0"/>
              <w:rPr>
                <w:color w:val="000000"/>
              </w:rPr>
            </w:pPr>
            <w:r>
              <w:rPr>
                <w:color w:val="000000"/>
              </w:rPr>
            </w:r>
          </w:p>
        </w:tc>
        <w:tc>
          <w:tcPr>
            <w:tcW w:w="7027" w:type="dxa"/>
            <w:tcBorders>
              <w:left w:val="single" w:sz="4" w:space="0" w:color="000000"/>
            </w:tcBorders>
            <w:shd w:color="auto" w:fill="FFFFFF" w:val="clear"/>
          </w:tcPr>
          <w:p>
            <w:pPr>
              <w:pStyle w:val="BodyText"/>
              <w:widowControl w:val="false"/>
              <w:suppressAutoHyphens w:val="true"/>
              <w:bidi w:val="0"/>
              <w:spacing w:lineRule="auto" w:line="240" w:before="57" w:after="142"/>
              <w:ind w:hanging="0" w:left="113" w:right="0"/>
              <w:jc w:val="left"/>
              <w:rPr>
                <w:rFonts w:ascii="Arial" w:hAnsi="Arial"/>
              </w:rPr>
            </w:pPr>
            <w:r>
              <w:rPr>
                <w:rFonts w:eastAsia="Segoe UI" w:cs="Tahoma" w:ascii="Arial" w:hAnsi="Arial"/>
                <w:b w:val="false"/>
                <w:bCs w:val="false"/>
                <w:color w:val="00000A"/>
                <w:kern w:val="2"/>
                <w:sz w:val="22"/>
                <w:szCs w:val="22"/>
                <w:lang w:val="en-GB" w:eastAsia="en-GB" w:bidi="ar-SA"/>
              </w:rPr>
              <w:t>8.5.</w:t>
            </w:r>
            <w:r>
              <w:rPr>
                <w:rFonts w:ascii="Arial" w:hAnsi="Arial"/>
                <w:b w:val="false"/>
                <w:bCs w:val="false"/>
              </w:rPr>
              <w:t xml:space="preserve"> </w:t>
            </w:r>
            <w:r>
              <w:rPr>
                <w:rFonts w:eastAsia="Segoe UI" w:cs="Tahoma" w:ascii="Arial" w:hAnsi="Arial"/>
                <w:b/>
                <w:bCs/>
                <w:color w:val="00000A"/>
                <w:kern w:val="2"/>
                <w:sz w:val="22"/>
                <w:szCs w:val="22"/>
                <w:lang w:val="en-GB" w:eastAsia="en-GB" w:bidi="ar-SA"/>
              </w:rPr>
              <w:t>Policy declaration form:</w:t>
            </w:r>
            <w:r>
              <w:rPr>
                <w:rFonts w:ascii="Arial" w:hAnsi="Arial"/>
                <w:b w:val="false"/>
                <w:bCs w:val="false"/>
              </w:rPr>
              <w:t xml:space="preserve"> </w:t>
            </w:r>
            <w:r>
              <w:rPr>
                <w:rFonts w:eastAsia="Segoe UI" w:cs="Tahoma" w:ascii="Arial" w:hAnsi="Arial"/>
                <w:b w:val="false"/>
                <w:bCs w:val="false"/>
                <w:color w:val="00000A"/>
                <w:kern w:val="2"/>
                <w:sz w:val="22"/>
                <w:szCs w:val="22"/>
                <w:lang w:val="en-GB" w:eastAsia="en-GB" w:bidi="ar-SA"/>
              </w:rPr>
              <w:t>there are still some Policy declaration forms to be returned to the Secretary.</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tLeast" w:line="100" w:before="57" w:after="177"/>
              <w:jc w:val="center"/>
              <w:rPr>
                <w:rFonts w:ascii="Arial" w:hAnsi="Arial" w:eastAsia="Arial" w:cs="Arial"/>
                <w:sz w:val="18"/>
                <w:szCs w:val="18"/>
              </w:rPr>
            </w:pPr>
            <w:r>
              <w:rPr>
                <w:rFonts w:eastAsia="Arial" w:cs="Arial" w:ascii="Arial" w:hAnsi="Arial"/>
                <w:sz w:val="18"/>
                <w:szCs w:val="18"/>
              </w:rPr>
              <w:t>Please return to Peter</w:t>
            </w:r>
          </w:p>
        </w:tc>
      </w:tr>
      <w:tr>
        <w:trPr>
          <w:trHeight w:val="1899"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bidi w:val="0"/>
              <w:spacing w:lineRule="auto" w:line="240" w:before="57" w:after="57"/>
              <w:rPr>
                <w:rFonts w:ascii="Arial" w:hAnsi="Arial" w:eastAsia="Arial" w:cs="Arial"/>
                <w:b/>
                <w:sz w:val="21"/>
                <w:szCs w:val="21"/>
              </w:rPr>
            </w:pPr>
            <w:r>
              <w:rPr>
                <w:rFonts w:eastAsia="Arial" w:cs="Arial" w:ascii="Arial" w:hAnsi="Arial"/>
                <w:b/>
                <w:sz w:val="21"/>
                <w:szCs w:val="21"/>
              </w:rPr>
              <w:t>9. Annual Contracted Maintenance</w:t>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tabs>
                <w:tab w:val="clear" w:pos="720"/>
                <w:tab w:val="left" w:pos="390" w:leader="none"/>
                <w:tab w:val="left" w:pos="1185" w:leader="none"/>
              </w:tabs>
              <w:spacing w:lineRule="atLeast" w:line="100" w:before="57" w:after="85"/>
              <w:rPr>
                <w:rFonts w:ascii="Arial" w:hAnsi="Arial" w:eastAsia="Arial" w:cs="Arial"/>
                <w:color w:val="000000"/>
              </w:rPr>
            </w:pPr>
            <w:r>
              <w:rPr>
                <w:rFonts w:eastAsia="Arial" w:cs="Arial" w:ascii="Arial" w:hAnsi="Arial"/>
                <w:color w:val="000000"/>
              </w:rPr>
              <w:t xml:space="preserve">10.1. </w:t>
            </w:r>
            <w:r>
              <w:rPr>
                <w:rFonts w:eastAsia="Arial" w:cs="Arial" w:ascii="Arial" w:hAnsi="Arial"/>
                <w:b/>
                <w:bCs/>
                <w:color w:val="000000"/>
              </w:rPr>
              <w:t>Building Compliance Report (no 51): Ken said</w:t>
            </w:r>
          </w:p>
          <w:p>
            <w:pPr>
              <w:pStyle w:val="Normal"/>
              <w:widowControl w:val="false"/>
              <w:tabs>
                <w:tab w:val="clear" w:pos="720"/>
                <w:tab w:val="left" w:pos="390" w:leader="none"/>
                <w:tab w:val="left" w:pos="1185" w:leader="none"/>
              </w:tabs>
              <w:spacing w:lineRule="atLeast" w:line="100" w:before="57" w:after="85"/>
              <w:rPr>
                <w:color w:val="000000"/>
              </w:rPr>
            </w:pPr>
            <w:r>
              <w:rPr>
                <w:rFonts w:eastAsia="Arial" w:cs="Arial" w:ascii="Arial" w:hAnsi="Arial"/>
                <w:color w:val="000000"/>
              </w:rPr>
              <w:t>There has been a spend on building maintenance for year to date from January to end of May 2026 of £2,203</w:t>
            </w:r>
          </w:p>
          <w:p>
            <w:pPr>
              <w:pStyle w:val="Normal"/>
              <w:widowControl w:val="false"/>
              <w:tabs>
                <w:tab w:val="clear" w:pos="720"/>
                <w:tab w:val="left" w:pos="390" w:leader="none"/>
                <w:tab w:val="left" w:pos="1185" w:leader="none"/>
              </w:tabs>
              <w:spacing w:lineRule="atLeast" w:line="100" w:before="57" w:after="85"/>
              <w:rPr>
                <w:color w:val="FF0000"/>
              </w:rPr>
            </w:pPr>
            <w:r>
              <w:rPr>
                <w:rFonts w:eastAsia="Arial" w:cs="Arial" w:ascii="Arial" w:hAnsi="Arial"/>
                <w:color w:val="FF0000"/>
              </w:rPr>
              <w:t>T</w:t>
            </w:r>
            <w:r>
              <w:rPr>
                <w:rFonts w:eastAsia="Arial" w:cs="Arial" w:ascii="Arial" w:hAnsi="Arial"/>
                <w:color w:val="000000"/>
              </w:rPr>
              <w:t>he spend to date on annual contracted maintenance was  £590. Therefore total spend on Building Maintenance to date for 2026  £2,209 averages £444.66 against £500 set target</w:t>
            </w:r>
          </w:p>
          <w:p>
            <w:pPr>
              <w:pStyle w:val="Normal"/>
              <w:widowControl w:val="false"/>
              <w:tabs>
                <w:tab w:val="clear" w:pos="720"/>
                <w:tab w:val="left" w:pos="390" w:leader="none"/>
                <w:tab w:val="left" w:pos="1185" w:leader="none"/>
              </w:tabs>
              <w:spacing w:lineRule="atLeast" w:line="100" w:before="57" w:after="85"/>
              <w:rPr>
                <w:color w:val="000000"/>
              </w:rPr>
            </w:pPr>
            <w:r>
              <w:rPr>
                <w:rFonts w:eastAsia="Arial" w:cs="Arial" w:ascii="Arial" w:hAnsi="Arial"/>
                <w:color w:val="000000"/>
              </w:rPr>
              <w:t>Ken has said that he will need to restrict the School House plan initially to the 3 offices as costs had risen significantly.</w:t>
            </w:r>
          </w:p>
          <w:p>
            <w:pPr>
              <w:pStyle w:val="Normal"/>
              <w:widowControl w:val="false"/>
              <w:tabs>
                <w:tab w:val="clear" w:pos="720"/>
                <w:tab w:val="left" w:pos="390" w:leader="none"/>
                <w:tab w:val="left" w:pos="1185" w:leader="none"/>
              </w:tabs>
              <w:spacing w:lineRule="atLeast" w:line="100" w:before="57" w:after="85"/>
              <w:rPr>
                <w:color w:val="000000"/>
              </w:rPr>
            </w:pPr>
            <w:r>
              <w:rPr>
                <w:rFonts w:eastAsia="Arial" w:cs="Arial" w:ascii="Arial" w:hAnsi="Arial"/>
                <w:color w:val="000000"/>
              </w:rPr>
              <w:t>Ken mentioned that he had received an Energy report from a volunteer energy adviser. He will circulate to the Exec group before informing the remaining Trustees.</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63"/>
              <w:jc w:val="center"/>
              <w:rPr>
                <w:rFonts w:ascii="Arial" w:hAnsi="Arial" w:eastAsia="Arial" w:cs="Arial"/>
                <w:color w:val="000000"/>
                <w:sz w:val="18"/>
                <w:szCs w:val="18"/>
              </w:rPr>
            </w:pPr>
            <w:r>
              <w:rPr>
                <w:rFonts w:eastAsia="Arial" w:cs="Arial" w:ascii="Arial" w:hAnsi="Arial"/>
                <w:color w:val="000000"/>
                <w:sz w:val="18"/>
                <w:szCs w:val="18"/>
              </w:rPr>
            </w:r>
          </w:p>
        </w:tc>
      </w:tr>
      <w:tr>
        <w:trPr>
          <w:trHeight w:val="23" w:hRule="atLeast"/>
        </w:trPr>
        <w:tc>
          <w:tcPr>
            <w:tcW w:w="1740" w:type="dxa"/>
            <w:tcBorders>
              <w:left w:val="single" w:sz="4" w:space="0" w:color="000000"/>
            </w:tcBorders>
            <w:shd w:color="auto" w:fill="FFFFFF" w:val="clear"/>
          </w:tcPr>
          <w:p>
            <w:pPr>
              <w:pStyle w:val="Normal"/>
              <w:widowControl w:val="false"/>
              <w:spacing w:lineRule="auto" w:line="240" w:before="57" w:after="57"/>
              <w:rPr/>
            </w:pPr>
            <w:r>
              <w:rPr>
                <w:rFonts w:eastAsia="Arial" w:cs="Arial" w:ascii="Arial" w:hAnsi="Arial"/>
                <w:b/>
                <w:sz w:val="21"/>
                <w:szCs w:val="21"/>
              </w:rPr>
              <w:t>10. Other Trustee reports</w:t>
            </w:r>
          </w:p>
        </w:tc>
        <w:tc>
          <w:tcPr>
            <w:tcW w:w="7027" w:type="dxa"/>
            <w:tcBorders>
              <w:left w:val="single" w:sz="4" w:space="0" w:color="000000"/>
              <w:bottom w:val="single" w:sz="4" w:space="0" w:color="000000"/>
            </w:tcBorders>
            <w:shd w:color="auto" w:fill="FFFFFF" w:val="clear"/>
          </w:tcPr>
          <w:p>
            <w:pPr>
              <w:pStyle w:val="Normal"/>
              <w:widowControl w:val="false"/>
              <w:tabs>
                <w:tab w:val="clear" w:pos="720"/>
                <w:tab w:val="left" w:pos="390" w:leader="none"/>
                <w:tab w:val="left" w:pos="1185" w:leader="none"/>
              </w:tabs>
              <w:spacing w:lineRule="atLeast" w:line="100" w:before="57" w:after="85"/>
              <w:rPr>
                <w:rFonts w:ascii="Arial" w:hAnsi="Arial" w:eastAsia="Arial" w:cs="Arial"/>
                <w:color w:val="000000"/>
              </w:rPr>
            </w:pPr>
            <w:r>
              <w:rPr>
                <w:rFonts w:eastAsia="Arial" w:cs="Arial" w:ascii="Arial" w:hAnsi="Arial"/>
                <w:color w:val="000000"/>
              </w:rPr>
              <w:t>10.1. None presented</w:t>
            </w:r>
          </w:p>
        </w:tc>
        <w:tc>
          <w:tcPr>
            <w:tcW w:w="1493" w:type="dxa"/>
            <w:tcBorders>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63"/>
              <w:jc w:val="center"/>
              <w:rPr>
                <w:rFonts w:ascii="Arial" w:hAnsi="Arial" w:eastAsia="Arial" w:cs="Arial"/>
                <w:color w:val="000000"/>
                <w:sz w:val="18"/>
                <w:szCs w:val="18"/>
              </w:rPr>
            </w:pPr>
            <w:r>
              <w:rPr>
                <w:rFonts w:eastAsia="Arial" w:cs="Arial" w:ascii="Arial" w:hAnsi="Arial"/>
                <w:color w:val="000000"/>
                <w:sz w:val="18"/>
                <w:szCs w:val="18"/>
              </w:rPr>
            </w:r>
          </w:p>
          <w:p>
            <w:pPr>
              <w:pStyle w:val="Normal"/>
              <w:widowControl w:val="false"/>
              <w:spacing w:lineRule="atLeast" w:line="100" w:before="0" w:after="63"/>
              <w:jc w:val="center"/>
              <w:rPr>
                <w:rFonts w:ascii="Arial" w:hAnsi="Arial" w:eastAsia="Arial" w:cs="Arial"/>
                <w:color w:val="000000"/>
                <w:sz w:val="18"/>
                <w:szCs w:val="18"/>
              </w:rPr>
            </w:pPr>
            <w:r>
              <w:rPr>
                <w:rFonts w:eastAsia="Arial" w:cs="Arial" w:ascii="Arial" w:hAnsi="Arial"/>
                <w:color w:val="000000"/>
                <w:sz w:val="18"/>
                <w:szCs w:val="18"/>
              </w:rPr>
            </w:r>
          </w:p>
        </w:tc>
      </w:tr>
      <w:tr>
        <w:trPr>
          <w:trHeight w:val="968"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57" w:after="0"/>
              <w:rPr/>
            </w:pPr>
            <w:r>
              <w:rPr>
                <w:rFonts w:eastAsia="Arial" w:cs="Arial" w:ascii="Arial" w:hAnsi="Arial"/>
                <w:b/>
                <w:sz w:val="21"/>
                <w:szCs w:val="21"/>
              </w:rPr>
              <w:t>11. User Group Reports</w:t>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spacing w:lineRule="atLeast" w:line="100" w:before="57" w:after="57"/>
              <w:rPr>
                <w:rFonts w:ascii="Arial" w:hAnsi="Arial" w:eastAsia="Arial" w:cs="Arial"/>
                <w:color w:val="000000"/>
              </w:rPr>
            </w:pPr>
            <w:r>
              <w:rPr>
                <w:rFonts w:eastAsia="Arial" w:cs="Arial" w:ascii="Arial" w:hAnsi="Arial"/>
              </w:rPr>
              <w:t xml:space="preserve">11.1. </w:t>
            </w:r>
            <w:r>
              <w:rPr>
                <w:rFonts w:eastAsia="Arial" w:cs="Arial" w:ascii="Arial" w:hAnsi="Arial"/>
                <w:b/>
                <w:bCs/>
                <w:color w:val="000000"/>
              </w:rPr>
              <w:t>DCYP</w:t>
            </w:r>
            <w:r>
              <w:rPr>
                <w:rFonts w:eastAsia="Arial" w:cs="Arial" w:ascii="Arial" w:hAnsi="Arial"/>
                <w:color w:val="000000"/>
              </w:rPr>
              <w:t>: their committee are to continue to share the use of the Main Office and instigate new ‘working from home’ conditions for their staff.. In addition they have changed their Youth Club hall booking to Wednesdays.</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exact" w:line="200" w:before="0" w:after="120"/>
              <w:jc w:val="center"/>
              <w:rPr>
                <w:rFonts w:ascii="Arial" w:hAnsi="Arial" w:cs="Arial"/>
                <w:sz w:val="18"/>
                <w:szCs w:val="18"/>
              </w:rPr>
            </w:pPr>
            <w:r>
              <w:rPr>
                <w:rFonts w:cs="Arial" w:ascii="Arial" w:hAnsi="Arial"/>
                <w:sz w:val="18"/>
                <w:szCs w:val="18"/>
              </w:rPr>
            </w:r>
          </w:p>
        </w:tc>
      </w:tr>
      <w:tr>
        <w:trPr>
          <w:trHeight w:val="4673" w:hRule="atLeast"/>
        </w:trPr>
        <w:tc>
          <w:tcPr>
            <w:tcW w:w="1740" w:type="dxa"/>
            <w:tcBorders>
              <w:left w:val="single" w:sz="4" w:space="0" w:color="000000"/>
            </w:tcBorders>
            <w:shd w:color="auto" w:fill="FFFFFF" w:val="clear"/>
          </w:tcPr>
          <w:p>
            <w:pPr>
              <w:pStyle w:val="Normal"/>
              <w:widowControl w:val="false"/>
              <w:spacing w:lineRule="auto" w:line="240" w:before="57" w:after="0"/>
              <w:rPr/>
            </w:pPr>
            <w:r>
              <w:rPr>
                <w:rFonts w:eastAsia="Arial" w:cs="Arial" w:ascii="Arial" w:hAnsi="Arial"/>
                <w:b/>
                <w:sz w:val="21"/>
                <w:szCs w:val="21"/>
              </w:rPr>
              <w:t>12. Any Other Business</w:t>
            </w:r>
          </w:p>
        </w:tc>
        <w:tc>
          <w:tcPr>
            <w:tcW w:w="7027" w:type="dxa"/>
            <w:tcBorders>
              <w:left w:val="single" w:sz="4" w:space="0" w:color="000000"/>
            </w:tcBorders>
            <w:shd w:color="auto" w:fill="FFFFFF" w:val="clear"/>
          </w:tcPr>
          <w:p>
            <w:pPr>
              <w:pStyle w:val="Normal"/>
              <w:widowControl w:val="false"/>
              <w:bidi w:val="0"/>
              <w:spacing w:lineRule="auto" w:line="240" w:before="57" w:after="113"/>
              <w:rPr>
                <w:rFonts w:ascii="Arial" w:hAnsi="Arial" w:eastAsia="Arial" w:cs="Arial"/>
              </w:rPr>
            </w:pPr>
            <w:r>
              <w:rPr>
                <w:rFonts w:eastAsia="Arial" w:cs="Arial" w:ascii="Arial" w:hAnsi="Arial"/>
              </w:rPr>
              <w:t xml:space="preserve">12.1. Link Road </w:t>
            </w:r>
            <w:r>
              <w:rPr>
                <w:rFonts w:eastAsia="Arial" w:cs="Arial" w:ascii="Arial" w:hAnsi="Arial"/>
                <w:b/>
                <w:bCs/>
              </w:rPr>
              <w:t>Update:</w:t>
            </w:r>
            <w:r>
              <w:rPr>
                <w:rFonts w:eastAsia="Arial" w:cs="Arial" w:ascii="Arial" w:hAnsi="Arial"/>
              </w:rPr>
              <w:t xml:space="preserve"> some of the Exec group met Victoria Lloyd-Gent, DCC Project Manager, about the surface improvement of the link road from Front Street to the car park and also the installation of cycle racks and parking facilities (areas have been highlighted).</w:t>
            </w:r>
          </w:p>
          <w:p>
            <w:pPr>
              <w:pStyle w:val="Normal"/>
              <w:widowControl w:val="false"/>
              <w:spacing w:lineRule="auto" w:line="240" w:before="57" w:after="113"/>
              <w:rPr>
                <w:rFonts w:ascii="Arial" w:hAnsi="Arial" w:eastAsia="Arial" w:cs="Arial"/>
              </w:rPr>
            </w:pPr>
            <w:r>
              <w:rPr>
                <w:rFonts w:eastAsia="Arial" w:cs="Arial" w:ascii="Arial" w:hAnsi="Arial"/>
              </w:rPr>
              <w:t>Victoria had also discussed Landscaping and enhancing gardens as part of the Council’s plan for improving local areas. She mentioned in addition that that DCC may wish to be involved in special events that we organise (refer to 12.2).</w:t>
            </w:r>
          </w:p>
          <w:p>
            <w:pPr>
              <w:pStyle w:val="Normal"/>
              <w:widowControl w:val="false"/>
              <w:bidi w:val="0"/>
              <w:spacing w:lineRule="auto" w:line="240" w:before="57" w:after="113"/>
              <w:rPr>
                <w:rFonts w:ascii="Arial" w:hAnsi="Arial" w:eastAsia="Arial" w:cs="Arial"/>
              </w:rPr>
            </w:pPr>
            <w:r>
              <w:rPr>
                <w:rFonts w:eastAsia="Arial" w:cs="Arial" w:ascii="Arial" w:hAnsi="Arial"/>
              </w:rPr>
              <w:t>When work on the Link Road starts during the Summer, emergency access will be needed for St Aidan’s Care home and the car park will have to be closed. It was noted that in future there will be more pressure on our car park as the public car park behind Sainsbury’s has started charging.</w:t>
            </w:r>
          </w:p>
          <w:p>
            <w:pPr>
              <w:pStyle w:val="Normal"/>
              <w:widowControl w:val="false"/>
              <w:spacing w:lineRule="auto" w:line="240" w:before="57" w:after="113"/>
              <w:rPr>
                <w:rFonts w:ascii="Arial" w:hAnsi="Arial" w:eastAsia="Arial" w:cs="Arial"/>
              </w:rPr>
            </w:pPr>
            <w:r>
              <w:rPr>
                <w:rFonts w:eastAsia="Arial" w:cs="Arial" w:ascii="Arial" w:hAnsi="Arial"/>
              </w:rPr>
              <w:t xml:space="preserve">12.2. Next year is the building’s </w:t>
            </w:r>
            <w:r>
              <w:rPr>
                <w:rFonts w:eastAsia="Arial" w:cs="Arial" w:ascii="Arial" w:hAnsi="Arial"/>
                <w:b/>
                <w:bCs/>
              </w:rPr>
              <w:t>150 anniversary</w:t>
            </w:r>
            <w:r>
              <w:rPr>
                <w:rFonts w:eastAsia="Arial" w:cs="Arial" w:ascii="Arial" w:hAnsi="Arial"/>
              </w:rPr>
              <w:t xml:space="preserve"> – should we consider organising a special event? There was interest from everyone about this. Ken suggested setting up a committee to drive the matter forward would be needed. Ian mentioned links with the Local History committee. Eric suggested that obtaining School photographs could stimulate local interest. Malcolm mentioned that Alan Richardson (‘local’ historian) could be contacted. The original school was opened in February 1877 but a later month may be more suitable for a celebratory event.</w:t>
            </w:r>
          </w:p>
        </w:tc>
        <w:tc>
          <w:tcPr>
            <w:tcW w:w="1493" w:type="dxa"/>
            <w:tcBorders>
              <w:left w:val="single" w:sz="4" w:space="0" w:color="000000"/>
              <w:right w:val="single" w:sz="4" w:space="0" w:color="000000"/>
            </w:tcBorders>
            <w:shd w:color="auto" w:fill="FFFFFF" w:val="clear"/>
          </w:tcPr>
          <w:p>
            <w:pPr>
              <w:pStyle w:val="Normal"/>
              <w:widowControl w:val="false"/>
              <w:snapToGrid w:val="false"/>
              <w:spacing w:lineRule="auto" w:line="240" w:before="57" w:after="57"/>
              <w:jc w:val="center"/>
              <w:rPr>
                <w:rFonts w:ascii="Arial" w:hAnsi="Arial" w:eastAsia="Arial" w:cs="Arial"/>
                <w:color w:val="000000"/>
                <w:sz w:val="18"/>
                <w:szCs w:val="18"/>
              </w:rPr>
            </w:pPr>
            <w:r>
              <w:rPr>
                <w:rFonts w:eastAsia="Arial" w:cs="Arial" w:ascii="Arial" w:hAnsi="Arial"/>
                <w:color w:val="000000"/>
                <w:sz w:val="18"/>
                <w:szCs w:val="18"/>
              </w:rPr>
            </w:r>
          </w:p>
        </w:tc>
      </w:tr>
      <w:tr>
        <w:trPr>
          <w:trHeight w:val="665" w:hRule="atLeast"/>
        </w:trPr>
        <w:tc>
          <w:tcPr>
            <w:tcW w:w="174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57" w:after="0"/>
              <w:rPr/>
            </w:pPr>
            <w:r>
              <w:rPr>
                <w:rFonts w:eastAsia="Arial" w:cs="Arial" w:ascii="Arial" w:hAnsi="Arial"/>
                <w:b/>
                <w:sz w:val="21"/>
                <w:szCs w:val="21"/>
              </w:rPr>
              <w:t>13. Next meeting</w:t>
            </w:r>
          </w:p>
        </w:tc>
        <w:tc>
          <w:tcPr>
            <w:tcW w:w="7027" w:type="dxa"/>
            <w:tcBorders>
              <w:top w:val="single" w:sz="4" w:space="0" w:color="000000"/>
              <w:left w:val="single" w:sz="4" w:space="0" w:color="000000"/>
              <w:bottom w:val="single" w:sz="4" w:space="0" w:color="000000"/>
            </w:tcBorders>
            <w:shd w:color="auto" w:fill="FFFFFF" w:val="clear"/>
          </w:tcPr>
          <w:p>
            <w:pPr>
              <w:pStyle w:val="Normal"/>
              <w:widowControl w:val="false"/>
              <w:spacing w:lineRule="atLeast" w:line="100" w:before="57" w:after="0"/>
              <w:rPr>
                <w:rFonts w:ascii="Arial" w:hAnsi="Arial" w:eastAsia="Arial" w:cs="Arial"/>
              </w:rPr>
            </w:pPr>
            <w:r>
              <w:rPr>
                <w:rFonts w:eastAsia="Arial" w:cs="Arial" w:ascii="Arial" w:hAnsi="Arial"/>
                <w:b/>
                <w:bCs/>
              </w:rPr>
              <w:t>Dates</w:t>
            </w:r>
            <w:r>
              <w:rPr>
                <w:rFonts w:eastAsia="Arial" w:cs="Arial" w:ascii="Arial" w:hAnsi="Arial"/>
              </w:rPr>
              <w:t xml:space="preserve"> of Next Management Meetings </w:t>
            </w:r>
            <w:r>
              <w:rPr>
                <w:rFonts w:eastAsia="Times New Roman" w:cs="Arial" w:ascii="Arial" w:hAnsi="Arial"/>
                <w:b w:val="false"/>
                <w:bCs w:val="false"/>
              </w:rPr>
              <w:t>on</w:t>
            </w:r>
            <w:r>
              <w:rPr>
                <w:rFonts w:eastAsia="Times New Roman" w:cs="Arial" w:ascii="Arial" w:hAnsi="Arial"/>
                <w:b/>
              </w:rPr>
              <w:t xml:space="preserve"> Thursdays </w:t>
            </w:r>
            <w:r>
              <w:rPr>
                <w:rFonts w:eastAsia="Times New Roman" w:cs="Arial" w:ascii="Arial" w:hAnsi="Arial"/>
                <w:b w:val="false"/>
                <w:bCs w:val="false"/>
              </w:rPr>
              <w:t>at</w:t>
            </w:r>
            <w:r>
              <w:rPr>
                <w:rFonts w:eastAsia="Times New Roman" w:cs="Arial" w:ascii="Arial" w:hAnsi="Arial"/>
                <w:b/>
              </w:rPr>
              <w:t xml:space="preserve"> </w:t>
            </w:r>
            <w:r>
              <w:rPr>
                <w:rFonts w:eastAsia="Arial" w:cs="Arial" w:ascii="Arial" w:hAnsi="Arial"/>
                <w:b/>
                <w:bCs/>
              </w:rPr>
              <w:t>11:30am</w:t>
            </w:r>
          </w:p>
          <w:p>
            <w:pPr>
              <w:pStyle w:val="Normal"/>
              <w:widowControl w:val="false"/>
              <w:spacing w:lineRule="auto" w:line="240" w:before="0" w:after="0"/>
              <w:rPr/>
            </w:pPr>
            <w:r>
              <w:rPr>
                <w:rFonts w:eastAsia="Arial" w:cs="Arial" w:ascii="Arial" w:hAnsi="Arial"/>
                <w:b w:val="false"/>
                <w:bCs w:val="false"/>
              </w:rPr>
              <w:t xml:space="preserve">In </w:t>
            </w:r>
            <w:r>
              <w:rPr>
                <w:rFonts w:eastAsia="Arial" w:cs="Arial" w:ascii="Arial" w:hAnsi="Arial"/>
                <w:b/>
                <w:bCs/>
              </w:rPr>
              <w:t>2026</w:t>
            </w:r>
            <w:r>
              <w:rPr>
                <w:rFonts w:eastAsia="Arial" w:cs="Arial" w:ascii="Arial" w:hAnsi="Arial"/>
                <w:b w:val="false"/>
                <w:bCs w:val="false"/>
              </w:rPr>
              <w:t xml:space="preserve"> - </w:t>
            </w:r>
            <w:r>
              <w:rPr>
                <w:rFonts w:eastAsia="Arial" w:cs="Arial" w:ascii="Arial" w:hAnsi="Arial"/>
                <w:b/>
                <w:bCs/>
              </w:rPr>
              <w:t>23 July</w:t>
            </w:r>
            <w:r>
              <w:rPr>
                <w:rFonts w:eastAsia="Arial" w:cs="Arial" w:ascii="Arial" w:hAnsi="Arial"/>
                <w:b w:val="false"/>
                <w:bCs w:val="false"/>
              </w:rPr>
              <w:t>, 24 September, 26 November. In 2027 - 28 January, 25 March</w:t>
            </w:r>
          </w:p>
          <w:p>
            <w:pPr>
              <w:pStyle w:val="Normal"/>
              <w:widowControl w:val="false"/>
              <w:spacing w:lineRule="auto" w:line="240" w:before="0" w:after="113"/>
              <w:rPr/>
            </w:pPr>
            <w:r>
              <w:rPr>
                <w:rFonts w:eastAsia="Arial" w:cs="Arial" w:ascii="Arial" w:hAnsi="Arial"/>
                <w:b/>
                <w:bCs/>
              </w:rPr>
              <w:t>AGM</w:t>
            </w:r>
            <w:r>
              <w:rPr>
                <w:rFonts w:eastAsia="Arial" w:cs="Arial" w:ascii="Arial" w:hAnsi="Arial"/>
                <w:b w:val="false"/>
                <w:bCs w:val="false"/>
              </w:rPr>
              <w:t xml:space="preserve"> on </w:t>
            </w:r>
            <w:r>
              <w:rPr>
                <w:rFonts w:eastAsia="Arial" w:cs="Arial" w:ascii="Arial" w:hAnsi="Arial"/>
                <w:b/>
                <w:bCs/>
              </w:rPr>
              <w:t>2 April</w:t>
            </w:r>
            <w:r>
              <w:rPr>
                <w:rFonts w:eastAsia="Arial" w:cs="Arial" w:ascii="Arial" w:hAnsi="Arial"/>
                <w:b w:val="false"/>
                <w:bCs w:val="false"/>
              </w:rPr>
              <w:t xml:space="preserve"> 2026 at </w:t>
            </w:r>
            <w:r>
              <w:rPr>
                <w:rFonts w:eastAsia="Arial" w:cs="Arial" w:ascii="Arial" w:hAnsi="Arial"/>
                <w:b/>
                <w:bCs/>
              </w:rPr>
              <w:t>6pm</w:t>
            </w:r>
          </w:p>
        </w:tc>
        <w:tc>
          <w:tcPr>
            <w:tcW w:w="149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napToGrid w:val="false"/>
              <w:spacing w:lineRule="atLeast" w:line="100" w:before="0" w:after="120"/>
              <w:jc w:val="center"/>
              <w:rPr>
                <w:rFonts w:ascii="Arial" w:hAnsi="Arial" w:eastAsia="Arial" w:cs="Arial"/>
                <w:color w:val="000000"/>
                <w:sz w:val="18"/>
                <w:szCs w:val="18"/>
              </w:rPr>
            </w:pPr>
            <w:r>
              <w:rPr>
                <w:rFonts w:eastAsia="Arial" w:cs="Arial" w:ascii="Arial" w:hAnsi="Arial"/>
                <w:color w:val="000000"/>
                <w:sz w:val="18"/>
                <w:szCs w:val="18"/>
              </w:rPr>
            </w:r>
          </w:p>
        </w:tc>
      </w:tr>
    </w:tbl>
    <w:p>
      <w:pPr>
        <w:pStyle w:val="Normal"/>
        <w:spacing w:lineRule="atLeast" w:line="100" w:before="0" w:after="0"/>
        <w:rPr/>
      </w:pPr>
      <w:r>
        <w:rPr/>
      </w:r>
    </w:p>
    <w:p>
      <w:pPr>
        <w:pStyle w:val="Normal"/>
        <w:spacing w:lineRule="atLeast" w:line="100" w:before="0" w:after="0"/>
        <w:rPr/>
      </w:pPr>
      <w:r>
        <w:rPr/>
        <w:drawing>
          <wp:inline distT="0" distB="0" distL="0" distR="0">
            <wp:extent cx="1714500" cy="8858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714500" cy="885825"/>
                    </a:xfrm>
                    <a:prstGeom prst="rect">
                      <a:avLst/>
                    </a:prstGeom>
                    <a:noFill/>
                  </pic:spPr>
                </pic:pic>
              </a:graphicData>
            </a:graphic>
          </wp:inline>
        </w:drawing>
      </w:r>
      <w:r>
        <w:rPr/>
        <w:tab/>
        <w:tab/>
        <w:tab/>
        <w:tab/>
      </w:r>
      <w:r>
        <w:rPr>
          <w:sz w:val="28"/>
          <w:szCs w:val="28"/>
        </w:rPr>
        <w:t>23 July 2026</w:t>
      </w:r>
    </w:p>
    <w:sectPr>
      <w:footerReference w:type="even" r:id="rId3"/>
      <w:footerReference w:type="default" r:id="rId4"/>
      <w:footerReference w:type="first" r:id="rId5"/>
      <w:type w:val="nextPage"/>
      <w:pgSz w:w="11906" w:h="16838"/>
      <w:pgMar w:left="1134" w:right="794" w:gutter="0" w:header="0" w:top="1020" w:footer="567" w:bottom="1134"/>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3</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5</w:t>
    </w:r>
    <w:r>
      <w:rPr>
        <w:sz w:val="18"/>
        <w:szCs w:val="18"/>
      </w:rPr>
      <w:fldChar w:fldCharType="end"/>
    </w:r>
    <w:r>
      <w:rPr>
        <w:sz w:val="18"/>
        <w:szCs w:val="18"/>
      </w:rPr>
      <w:tab/>
      <w:tab/>
    </w:r>
    <w:r>
      <w:rPr>
        <w:sz w:val="18"/>
        <w:szCs w:val="18"/>
      </w:rPr>
      <w:fldChar w:fldCharType="begin"/>
    </w:r>
    <w:r>
      <w:rPr>
        <w:sz w:val="18"/>
        <w:szCs w:val="18"/>
      </w:rPr>
      <w:instrText xml:space="preserve"> FILENAME </w:instrText>
    </w:r>
    <w:r>
      <w:rPr>
        <w:sz w:val="18"/>
        <w:szCs w:val="18"/>
      </w:rPr>
      <w:fldChar w:fldCharType="separate"/>
    </w:r>
    <w:r>
      <w:rPr>
        <w:sz w:val="18"/>
        <w:szCs w:val="18"/>
      </w:rPr>
      <w:t>2026 05 28 FMYCA Minutes.docx</w:t>
    </w:r>
    <w:r>
      <w:rPr>
        <w:sz w:val="18"/>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3</w:t>
    </w:r>
    <w:r>
      <w:rPr>
        <w:sz w:val="18"/>
        <w:szCs w:val="18"/>
      </w:rPr>
      <w:fldChar w:fldCharType="end"/>
    </w:r>
    <w:r>
      <w:rPr>
        <w:sz w:val="18"/>
        <w:szCs w:val="18"/>
      </w:rPr>
      <w:t>/</w:t>
    </w:r>
    <w:r>
      <w:rPr>
        <w:sz w:val="18"/>
        <w:szCs w:val="18"/>
      </w:rPr>
      <w:fldChar w:fldCharType="begin"/>
    </w:r>
    <w:r>
      <w:rPr>
        <w:sz w:val="18"/>
        <w:szCs w:val="18"/>
      </w:rPr>
      <w:instrText xml:space="preserve"> NUMPAGES </w:instrText>
    </w:r>
    <w:r>
      <w:rPr>
        <w:sz w:val="18"/>
        <w:szCs w:val="18"/>
      </w:rPr>
      <w:fldChar w:fldCharType="separate"/>
    </w:r>
    <w:r>
      <w:rPr>
        <w:sz w:val="18"/>
        <w:szCs w:val="18"/>
      </w:rPr>
      <w:t>5</w:t>
    </w:r>
    <w:r>
      <w:rPr>
        <w:sz w:val="18"/>
        <w:szCs w:val="18"/>
      </w:rPr>
      <w:fldChar w:fldCharType="end"/>
    </w:r>
    <w:r>
      <w:rPr>
        <w:sz w:val="18"/>
        <w:szCs w:val="18"/>
      </w:rPr>
      <w:tab/>
      <w:tab/>
    </w:r>
    <w:r>
      <w:rPr>
        <w:sz w:val="18"/>
        <w:szCs w:val="18"/>
      </w:rPr>
      <w:fldChar w:fldCharType="begin"/>
    </w:r>
    <w:r>
      <w:rPr>
        <w:sz w:val="18"/>
        <w:szCs w:val="18"/>
      </w:rPr>
      <w:instrText xml:space="preserve"> FILENAME </w:instrText>
    </w:r>
    <w:r>
      <w:rPr>
        <w:sz w:val="18"/>
        <w:szCs w:val="18"/>
      </w:rPr>
      <w:fldChar w:fldCharType="separate"/>
    </w:r>
    <w:r>
      <w:rPr>
        <w:sz w:val="18"/>
        <w:szCs w:val="18"/>
      </w:rPr>
      <w:t>2026 05 28 FMYCA Minutes.docx</w:t>
    </w:r>
    <w:r>
      <w:rPr>
        <w:sz w:val="18"/>
        <w:szCs w:val="18"/>
      </w:rPr>
      <w:fldChar w:fldCharType="end"/>
    </w:r>
  </w:p>
</w:ftr>
</file>

<file path=word/settings.xml><?xml version="1.0" encoding="utf-8"?>
<w:settings xmlns:w="http://schemas.openxmlformats.org/wordprocessingml/2006/main">
  <w:zoom w:percent="100"/>
  <w:revisionView w:insDel="0" w:formatting="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14cc"/>
    <w:pPr>
      <w:widowControl/>
      <w:suppressAutoHyphens w:val="true"/>
      <w:bidi w:val="0"/>
      <w:spacing w:lineRule="auto" w:line="276" w:before="0" w:after="200"/>
      <w:jc w:val="left"/>
    </w:pPr>
    <w:rPr>
      <w:rFonts w:ascii="Calibri" w:hAnsi="Calibri" w:eastAsia="Segoe UI" w:cs="Tahoma"/>
      <w:color w:val="00000A"/>
      <w:kern w:val="2"/>
      <w:sz w:val="22"/>
      <w:szCs w:val="22"/>
      <w:lang w:val="en-GB" w:eastAsia="en-GB"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rFonts w:cs="Arial"/>
      <w:lang w:val="en-GB"/>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BalloonTextChar" w:customStyle="1">
    <w:name w:val="Balloon Text Char"/>
    <w:basedOn w:val="DefaultParagraphFont"/>
    <w:qFormat/>
    <w:rPr>
      <w:rFonts w:ascii="Tahoma" w:hAnsi="Tahoma" w:cs="Tahoma"/>
      <w:sz w:val="16"/>
      <w:szCs w:val="16"/>
    </w:rPr>
  </w:style>
  <w:style w:type="character" w:styleId="NumberingSymbols" w:customStyle="1">
    <w:name w:val="Numbering Symbols"/>
    <w:qFormat/>
    <w:rPr/>
  </w:style>
  <w:style w:type="character" w:styleId="LineNumber">
    <w:name w:val="line number"/>
    <w:qFormat/>
    <w:rPr/>
  </w:style>
  <w:style w:type="character" w:styleId="Emphasis">
    <w:name w:val="Emphasis"/>
    <w:qFormat/>
    <w:rPr>
      <w:i/>
      <w:iCs/>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Bulletsuser">
    <w:name w:val="Bullets (user)"/>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customStyle="1">
    <w:name w:val="caption1"/>
    <w:basedOn w:val="Normal"/>
    <w:qFormat/>
    <w:pPr>
      <w:suppressLineNumbers/>
      <w:spacing w:before="120" w:after="120"/>
    </w:pPr>
    <w:rPr>
      <w:rFonts w:cs="Arial"/>
      <w:i/>
      <w:iCs/>
      <w:sz w:val="24"/>
      <w:szCs w:val="24"/>
    </w:rPr>
  </w:style>
  <w:style w:type="paragraph" w:styleId="HeaderandFooter" w:customStyle="1">
    <w:name w:val="Header and Footer"/>
    <w:basedOn w:val="Normal"/>
    <w:qFormat/>
    <w:pPr/>
    <w:rPr/>
  </w:style>
  <w:style w:type="paragraph" w:styleId="Header">
    <w:name w:val="header"/>
    <w:basedOn w:val="Normal"/>
    <w:pPr>
      <w:suppressLineNumbers/>
      <w:tabs>
        <w:tab w:val="clear" w:pos="720"/>
        <w:tab w:val="center" w:pos="4513" w:leader="none"/>
        <w:tab w:val="right" w:pos="9026" w:leader="none"/>
      </w:tabs>
      <w:spacing w:lineRule="atLeast" w:line="100" w:before="0" w:after="0"/>
    </w:pPr>
    <w:rPr/>
  </w:style>
  <w:style w:type="paragraph" w:styleId="Footer">
    <w:name w:val="footer"/>
    <w:basedOn w:val="Normal"/>
    <w:pPr>
      <w:suppressLineNumbers/>
      <w:tabs>
        <w:tab w:val="clear" w:pos="720"/>
        <w:tab w:val="center" w:pos="4513" w:leader="none"/>
        <w:tab w:val="right" w:pos="9026" w:leader="none"/>
      </w:tabs>
      <w:spacing w:lineRule="atLeast" w:line="100" w:before="0" w:after="0"/>
    </w:pPr>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paragraph" w:styleId="ListParagraph">
    <w:name w:val="List Paragraph"/>
    <w:basedOn w:val="Normal"/>
    <w:qFormat/>
    <w:pPr>
      <w:ind w:hanging="0" w:left="720"/>
    </w:pPr>
    <w:rPr/>
  </w:style>
  <w:style w:type="paragraph" w:styleId="BalloonText">
    <w:name w:val="Balloon Text"/>
    <w:basedOn w:val="Normal"/>
    <w:qFormat/>
    <w:pPr>
      <w:spacing w:lineRule="atLeast" w:line="100" w:before="0" w:after="0"/>
    </w:pPr>
    <w:rPr>
      <w:rFonts w:ascii="Tahoma" w:hAnsi="Tahoma"/>
      <w:sz w:val="16"/>
      <w:szCs w:val="16"/>
    </w:rPr>
  </w:style>
  <w:style w:type="paragraph" w:styleId="Revision">
    <w:name w:val="Revision"/>
    <w:uiPriority w:val="99"/>
    <w:semiHidden/>
    <w:qFormat/>
    <w:rsid w:val="004314cc"/>
    <w:pPr>
      <w:widowControl/>
      <w:suppressAutoHyphens w:val="false"/>
      <w:bidi w:val="0"/>
      <w:spacing w:before="0" w:after="0"/>
      <w:jc w:val="left"/>
    </w:pPr>
    <w:rPr>
      <w:rFonts w:ascii="Calibri" w:hAnsi="Calibri" w:eastAsia="Segoe UI" w:cs="Tahoma"/>
      <w:color w:val="00000A"/>
      <w:kern w:val="2"/>
      <w:sz w:val="22"/>
      <w:szCs w:val="22"/>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1775</TotalTime>
  <Application>LibreOffice/26.2.4.2$Windows_X86_64 LibreOffice_project/0229ac93fcf0d7cbc6376066c6f35021cef002dc</Application>
  <AppVersion>15.0000</AppVersion>
  <Pages>5</Pages>
  <Words>2089</Words>
  <Characters>10460</Characters>
  <CharactersWithSpaces>12475</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2020-08-15T12:43:50Z</dcterms:created>
  <dc:creator/>
  <dc:description/>
  <dc:language>en-GB</dc:language>
  <cp:lastModifiedBy/>
  <cp:lastPrinted>2024-01-23T15:40:04Z</cp:lastPrinted>
  <dcterms:modified xsi:type="dcterms:W3CDTF">2026-07-23T14:21:38Z</dcterms:modified>
  <cp:revision>1418</cp:revision>
  <dc:subject/>
  <dc:title/>
</cp:coreProperties>
</file>

<file path=docProps/custom.xml><?xml version="1.0" encoding="utf-8"?>
<Properties xmlns="http://schemas.openxmlformats.org/officeDocument/2006/custom-properties" xmlns:vt="http://schemas.openxmlformats.org/officeDocument/2006/docPropsVTypes"/>
</file>