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olor w:val="000000"/>
        </w:rPr>
      </w:pPr>
      <w:r>
        <w:rPr>
          <w:rFonts w:ascii="Arial" w:hAnsi="Arial"/>
          <w:color w:val="000000"/>
        </w:rPr>
        <mc:AlternateContent>
          <mc:Choice Requires="wps">
            <w:drawing>
              <wp:anchor distT="5080" distB="5080" distL="5715" distR="4445" simplePos="0" relativeHeight="7" behindDoc="0" locked="0" layoutInCell="1" allowOverlap="1">
                <wp:simplePos x="0" y="0"/>
                <wp:positionH relativeFrom="column">
                  <wp:posOffset>-12065</wp:posOffset>
                </wp:positionH>
                <wp:positionV relativeFrom="paragraph">
                  <wp:posOffset>-90805</wp:posOffset>
                </wp:positionV>
                <wp:extent cx="6162675" cy="1087120"/>
                <wp:effectExtent l="5715" t="5080" r="4445" b="5080"/>
                <wp:wrapNone/>
                <wp:docPr id="1" name="Shape1"/>
                <a:graphic xmlns:a="http://schemas.openxmlformats.org/drawingml/2006/main">
                  <a:graphicData uri="http://schemas.microsoft.com/office/word/2010/wordprocessingShape">
                    <wps:wsp>
                      <wps:cNvSpPr/>
                      <wps:spPr>
                        <a:xfrm>
                          <a:off x="0" y="0"/>
                          <a:ext cx="6162840" cy="108720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0.95pt;margin-top:-7.15pt;width:485.2pt;height:85.5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color w:val="000000"/>
          <w:sz w:val="32"/>
          <w:szCs w:val="32"/>
        </w:rPr>
        <w:t>Framwellgate Moor Youth &amp; Community Association</w:t>
      </w:r>
    </w:p>
    <w:p>
      <w:pPr>
        <w:pStyle w:val="Normal"/>
        <w:spacing w:before="57" w:after="57"/>
        <w:jc w:val="center"/>
        <w:rPr>
          <w:rFonts w:ascii="Arial" w:hAnsi="Arial"/>
        </w:rPr>
      </w:pPr>
      <w:r>
        <w:rPr>
          <w:rFonts w:ascii="Arial" w:hAnsi="Arial"/>
          <w:b w:val="false"/>
          <w:bCs w:val="false"/>
          <w:color w:val="000000"/>
          <w:sz w:val="22"/>
          <w:szCs w:val="22"/>
        </w:rPr>
        <w:t xml:space="preserve">Registered Charity No </w:t>
      </w:r>
      <w:r>
        <w:rPr>
          <w:rFonts w:eastAsia="Times New Roman" w:cs="Times New Roman" w:ascii="Arial" w:hAnsi="Arial"/>
          <w:b w:val="false"/>
          <w:bCs w:val="false"/>
          <w:color w:val="000000"/>
          <w:sz w:val="22"/>
          <w:szCs w:val="22"/>
          <w:lang w:val="en-GB" w:bidi="ar-SA"/>
        </w:rPr>
        <w:t>1154450</w:t>
      </w:r>
    </w:p>
    <w:p>
      <w:pPr>
        <w:pStyle w:val="Normal"/>
        <w:jc w:val="center"/>
        <w:rPr>
          <w:sz w:val="26"/>
          <w:szCs w:val="26"/>
        </w:rPr>
      </w:pPr>
      <w:r>
        <w:rPr>
          <w:rFonts w:eastAsia="Times New Roman" w:cs="Times New Roman" w:ascii="Arial" w:hAnsi="Arial"/>
          <w:b/>
          <w:color w:val="000000"/>
          <w:sz w:val="26"/>
          <w:szCs w:val="26"/>
          <w:lang w:val="en-GB" w:bidi="ar-SA"/>
        </w:rPr>
        <w:t xml:space="preserve">Children and Vulnerable Adults Safeguarding Policy – </w:t>
      </w:r>
      <w:r>
        <w:rPr>
          <w:rFonts w:eastAsia="Times New Roman" w:cs="Times New Roman" w:ascii="Arial" w:hAnsi="Arial"/>
          <w:b/>
          <w:color w:val="000000"/>
          <w:sz w:val="26"/>
          <w:szCs w:val="26"/>
          <w:lang w:val="en-GB" w:bidi="ar-SA"/>
        </w:rPr>
        <w:t xml:space="preserve">major </w:t>
      </w:r>
      <w:r>
        <w:rPr>
          <w:rFonts w:eastAsia="Times New Roman" w:cs="Times New Roman" w:ascii="Arial" w:hAnsi="Arial"/>
          <w:b/>
          <w:color w:val="000000"/>
          <w:sz w:val="26"/>
          <w:szCs w:val="26"/>
          <w:lang w:val="en-GB" w:bidi="ar-SA"/>
        </w:rPr>
        <w:t>update 2023</w:t>
      </w:r>
    </w:p>
    <w:p>
      <w:pPr>
        <w:pStyle w:val="Subtitle"/>
        <w:jc w:val="center"/>
        <w:rPr>
          <w:rFonts w:ascii="Arial" w:hAnsi="Arial"/>
          <w:b/>
          <w:caps/>
          <w:color w:val="000000"/>
          <w:sz w:val="28"/>
          <w:szCs w:val="28"/>
        </w:rPr>
      </w:pPr>
      <w:r>
        <w:rPr>
          <w:rFonts w:ascii="Arial" w:hAnsi="Arial"/>
          <w:b/>
          <w:caps/>
          <w:color w:val="000000"/>
          <w:sz w:val="28"/>
          <w:szCs w:val="28"/>
        </w:rPr>
      </w:r>
    </w:p>
    <w:p>
      <w:pPr>
        <w:pStyle w:val="BodyText"/>
        <w:spacing w:before="113" w:after="142"/>
        <w:rPr>
          <w:rFonts w:ascii="Arial" w:hAnsi="Arial"/>
          <w:sz w:val="22"/>
          <w:szCs w:val="22"/>
        </w:rPr>
      </w:pPr>
      <w:r>
        <w:rPr>
          <w:rFonts w:ascii="Arial" w:hAnsi="Arial"/>
          <w:sz w:val="22"/>
          <w:szCs w:val="22"/>
        </w:rPr>
      </w:r>
    </w:p>
    <w:p>
      <w:pPr>
        <w:pStyle w:val="BodyText"/>
        <w:spacing w:before="113" w:after="142"/>
        <w:rPr>
          <w:rFonts w:ascii="Arial" w:hAnsi="Arial"/>
          <w:sz w:val="22"/>
          <w:szCs w:val="22"/>
        </w:rPr>
      </w:pPr>
      <w:r>
        <w:rPr>
          <w:rFonts w:ascii="Arial" w:hAnsi="Arial"/>
          <w:sz w:val="22"/>
          <w:szCs w:val="22"/>
        </w:rPr>
        <w:t>This is the Children and Vulnerable Adults Safeguarding Policy of Framwellgate Moor Youth &amp; Community Association (FMYCA)</w:t>
      </w:r>
    </w:p>
    <w:p>
      <w:pPr>
        <w:pStyle w:val="Subtitle"/>
        <w:rPr>
          <w:rFonts w:ascii="Arial" w:hAnsi="Arial"/>
        </w:rPr>
      </w:pPr>
      <w:r>
        <w:rPr>
          <w:rFonts w:ascii="Arial" w:hAnsi="Arial"/>
          <w:b/>
          <w:color w:val="000000"/>
          <w:sz w:val="28"/>
          <w:szCs w:val="28"/>
        </w:rPr>
        <w:t>Principles</w:t>
      </w:r>
    </w:p>
    <w:p>
      <w:pPr>
        <w:pStyle w:val="Subtitle"/>
        <w:spacing w:before="0" w:after="113"/>
        <w:rPr>
          <w:rFonts w:ascii="Arial" w:hAnsi="Arial"/>
        </w:rPr>
      </w:pPr>
      <w:r>
        <w:rPr>
          <w:rFonts w:ascii="Arial" w:hAnsi="Arial"/>
          <w:color w:val="000000"/>
          <w:szCs w:val="24"/>
        </w:rPr>
        <w:t xml:space="preserve">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w:t>
      </w:r>
      <w:r>
        <w:rPr>
          <w:rFonts w:ascii="Arial" w:hAnsi="Arial"/>
          <w:b/>
          <w:bCs/>
          <w:color w:val="000000"/>
          <w:szCs w:val="24"/>
        </w:rPr>
        <w:t>not</w:t>
      </w:r>
      <w:r>
        <w:rPr>
          <w:rFonts w:ascii="Arial" w:hAnsi="Arial"/>
          <w:color w:val="000000"/>
          <w:szCs w:val="24"/>
        </w:rPr>
        <w:t xml:space="preserve"> be permitted or tolerated.</w:t>
      </w:r>
    </w:p>
    <w:p>
      <w:pPr>
        <w:pStyle w:val="BodyText"/>
        <w:spacing w:lineRule="auto" w:line="240" w:before="0" w:after="113"/>
        <w:rPr>
          <w:rFonts w:ascii="Arial" w:hAnsi="Arial"/>
        </w:rPr>
      </w:pPr>
      <w:r>
        <w:rPr>
          <w:rFonts w:ascii="Arial" w:hAnsi="Arial"/>
          <w:color w:val="000000"/>
          <w:szCs w:val="24"/>
        </w:rPr>
        <w:t>This Policy provide</w:t>
      </w:r>
      <w:r>
        <w:rPr>
          <w:rFonts w:ascii="Arial" w:hAnsi="Arial"/>
          <w:color w:val="000000"/>
          <w:szCs w:val="24"/>
        </w:rPr>
        <w:t>s</w:t>
      </w:r>
      <w:r>
        <w:rPr>
          <w:rFonts w:ascii="Arial" w:hAnsi="Arial"/>
          <w:color w:val="000000"/>
          <w:szCs w:val="24"/>
        </w:rPr>
        <w:t xml:space="preserve"> clear direction to staff, user groups and visitors about expected codes of behaviour in dealing with welfare concerns. This policy</w:t>
      </w:r>
      <w:r>
        <w:rPr>
          <w:rFonts w:ascii="Arial" w:hAnsi="Arial"/>
          <w:color w:val="FF0000"/>
          <w:szCs w:val="24"/>
        </w:rPr>
        <w:t xml:space="preserve"> </w:t>
      </w:r>
      <w:r>
        <w:rPr>
          <w:rFonts w:ascii="Arial" w:hAnsi="Arial"/>
          <w:color w:val="000000"/>
          <w:szCs w:val="24"/>
        </w:rPr>
        <w:t>provides explicit advice about the commitment to the development of good practice and sound procedures to keep children and vulnerable adults safe. The policy recognises that all forms of harm/abuse including extra familial harm can occur in all communities and contexts (home, school, online and local area) and that all staff have a responsibility and the opportunity to support children and vulnerable adults, in sharing concerns and worries to feel safe. The culture of vigilance in our centre creates a safe space where children and vulnerable adults are supported, listened to and responded to effectively, as well as valued in what they choose to share and that all staff act immediately with the necessary level of intervention to create the most effective outcome for every individual child and vulnerable adult.</w:t>
      </w:r>
    </w:p>
    <w:p>
      <w:pPr>
        <w:pStyle w:val="Subtitle"/>
        <w:jc w:val="both"/>
        <w:rPr>
          <w:rFonts w:ascii="Arial" w:hAnsi="Arial" w:eastAsia="Times New Roman" w:cs="Times New Roman"/>
          <w:b/>
          <w:bCs/>
          <w:color w:val="000000"/>
          <w:kern w:val="0"/>
          <w:sz w:val="28"/>
          <w:szCs w:val="28"/>
          <w:lang w:val="en-GB" w:eastAsia="zh-CN" w:bidi="ar-SA"/>
        </w:rPr>
      </w:pPr>
      <w:r>
        <w:rPr>
          <w:rFonts w:eastAsia="Times New Roman" w:cs="Times New Roman" w:ascii="Arial" w:hAnsi="Arial"/>
          <w:b/>
          <w:bCs/>
          <w:color w:val="000000"/>
          <w:kern w:val="0"/>
          <w:sz w:val="28"/>
          <w:szCs w:val="28"/>
          <w:lang w:val="en-GB" w:eastAsia="zh-CN" w:bidi="ar-SA"/>
        </w:rPr>
        <w:t>Purpose</w:t>
      </w:r>
    </w:p>
    <w:p>
      <w:pPr>
        <w:pStyle w:val="BodyText"/>
        <w:spacing w:lineRule="auto" w:line="240" w:before="0" w:after="0"/>
        <w:jc w:val="left"/>
        <w:rPr>
          <w:rFonts w:ascii="Arial" w:hAnsi="Arial" w:cs="Verdana"/>
          <w:b w:val="false"/>
          <w:bCs w:val="false"/>
          <w:color w:val="000000"/>
          <w:sz w:val="24"/>
          <w:szCs w:val="24"/>
        </w:rPr>
      </w:pPr>
      <w:r>
        <w:rPr>
          <w:rFonts w:cs="Verdana" w:ascii="Arial" w:hAnsi="Arial"/>
          <w:b w:val="false"/>
          <w:bCs w:val="false"/>
          <w:color w:val="000000"/>
          <w:sz w:val="24"/>
          <w:szCs w:val="24"/>
        </w:rPr>
        <w:t>The purpose of this policy is to ensure that the welfare of children and vulnerable adults is of paramount importance and that early and additional help is offered to prevent escalation. Where child protection concerns are identified referrals are handled confidentially, sensitively and professionally and in ways that support the needs of the child’s well-being. Our staff and relevant User Group staff are committed to keeping children safe by safeguarding and promoting the welfare of children/vulnerable adults in our care through all our policies, procedures and practices. We expect all our User Groups and visitors to share this commitment and understanding.</w:t>
      </w:r>
    </w:p>
    <w:p>
      <w:pPr>
        <w:pStyle w:val="BodyText"/>
        <w:jc w:val="both"/>
        <w:rPr>
          <w:rFonts w:ascii="Arial" w:hAnsi="Arial" w:cs="Verdana"/>
          <w:b/>
          <w:color w:val="000000"/>
          <w:sz w:val="22"/>
          <w:szCs w:val="22"/>
        </w:rPr>
      </w:pPr>
      <w:r>
        <w:rPr>
          <w:rFonts w:cs="Verdana" w:ascii="Arial" w:hAnsi="Arial"/>
          <w:b/>
          <w:color w:val="000000"/>
          <w:sz w:val="22"/>
          <w:szCs w:val="22"/>
        </w:rPr>
      </w:r>
    </w:p>
    <w:p>
      <w:pPr>
        <w:pStyle w:val="Subtitle"/>
        <w:jc w:val="both"/>
        <w:rPr>
          <w:rFonts w:ascii="Arial" w:hAnsi="Arial"/>
        </w:rPr>
      </w:pPr>
      <w:r>
        <w:rPr>
          <w:rFonts w:ascii="Arial" w:hAnsi="Arial"/>
          <w:b/>
          <w:color w:val="000000"/>
          <w:sz w:val="28"/>
          <w:szCs w:val="28"/>
        </w:rPr>
        <w:t>Policy</w:t>
      </w:r>
    </w:p>
    <w:p>
      <w:pPr>
        <w:pStyle w:val="Normal"/>
        <w:numPr>
          <w:ilvl w:val="0"/>
          <w:numId w:val="1"/>
        </w:numPr>
        <w:rPr>
          <w:rFonts w:ascii="Arial" w:hAnsi="Arial"/>
        </w:rPr>
      </w:pPr>
      <w:r>
        <w:rPr>
          <w:rFonts w:ascii="Arial" w:hAnsi="Arial"/>
          <w:color w:val="000000"/>
        </w:rPr>
        <w:t xml:space="preserve">The Management Committee of the </w:t>
      </w:r>
      <w:r>
        <w:rPr>
          <w:rFonts w:eastAsia="Times New Roman" w:cs="Times New Roman" w:ascii="Arial" w:hAnsi="Arial"/>
          <w:color w:val="000000"/>
          <w:sz w:val="24"/>
          <w:szCs w:val="24"/>
          <w:lang w:val="en-GB" w:eastAsia="zh-CN" w:bidi="ar-SA"/>
        </w:rPr>
        <w:t>Association</w:t>
      </w:r>
      <w:r>
        <w:rPr>
          <w:rFonts w:ascii="Arial" w:hAnsi="Arial"/>
          <w:color w:val="000000"/>
        </w:rPr>
        <w:t xml:space="preserve"> do not generally organise activities within the Centre that require special provision for </w:t>
      </w:r>
      <w:r>
        <w:rPr>
          <w:rFonts w:eastAsia="Times New Roman" w:cs="Times New Roman" w:ascii="Arial" w:hAnsi="Arial"/>
          <w:color w:val="000000"/>
          <w:sz w:val="24"/>
          <w:szCs w:val="24"/>
          <w:lang w:val="en-GB" w:eastAsia="zh-CN" w:bidi="ar-SA"/>
        </w:rPr>
        <w:t>c</w:t>
      </w:r>
      <w:r>
        <w:rPr>
          <w:rFonts w:ascii="Arial" w:hAnsi="Arial"/>
          <w:color w:val="000000"/>
        </w:rPr>
        <w:t>hildren or vulnerable adults. However they are aware that other groups use the Centre that include groups mentioned above. They therefore have developed the following procedures to check that a proper level of safeguarding is established and maintained by user groups.</w:t>
      </w:r>
    </w:p>
    <w:p>
      <w:pPr>
        <w:pStyle w:val="Normal"/>
        <w:ind w:hanging="0" w:left="397" w:right="0"/>
        <w:rPr>
          <w:rFonts w:ascii="Arial" w:hAnsi="Arial"/>
          <w:color w:val="000000"/>
        </w:rPr>
      </w:pPr>
      <w:r>
        <w:rPr>
          <w:rFonts w:ascii="Arial" w:hAnsi="Arial"/>
          <w:color w:val="000000"/>
        </w:rPr>
      </w:r>
    </w:p>
    <w:p>
      <w:pPr>
        <w:pStyle w:val="Subtitle"/>
        <w:numPr>
          <w:ilvl w:val="0"/>
          <w:numId w:val="1"/>
        </w:numPr>
        <w:rPr>
          <w:rFonts w:ascii="Arial" w:hAnsi="Arial"/>
        </w:rPr>
      </w:pPr>
      <w:r>
        <w:rPr>
          <w:rFonts w:ascii="Arial" w:hAnsi="Arial"/>
          <w:color w:val="000000"/>
          <w:szCs w:val="24"/>
        </w:rPr>
        <w:t>No member of the trustees, helpers, other volunteers or staff will have unsupervised access to children or vulnerable adults unless they have been through the safe recruitment procedure and introductory Child Protection or Vulnerable Adults Protection training.</w:t>
      </w:r>
    </w:p>
    <w:p>
      <w:pPr>
        <w:pStyle w:val="Normal"/>
        <w:numPr>
          <w:ilvl w:val="0"/>
          <w:numId w:val="1"/>
        </w:numPr>
        <w:rPr>
          <w:rFonts w:ascii="Arial" w:hAnsi="Arial"/>
        </w:rPr>
      </w:pPr>
      <w:r>
        <w:rPr>
          <w:rFonts w:ascii="Arial" w:hAnsi="Arial"/>
          <w:color w:val="000000"/>
        </w:rPr>
        <w:t xml:space="preserve">All organisations using the Centre will be required to declare whether any of their users are classified as young persons or vulnerable adults. Those organisations with such users will be required to produce evidence of relevant </w:t>
      </w:r>
      <w:r>
        <w:rPr>
          <w:rFonts w:eastAsia="Times New Roman" w:cs="Times New Roman" w:ascii="Arial" w:hAnsi="Arial"/>
          <w:color w:val="000000"/>
          <w:sz w:val="24"/>
          <w:szCs w:val="24"/>
          <w:lang w:val="en-GB" w:bidi="ar-SA"/>
        </w:rPr>
        <w:t>Disclosure and Barring Service (DBS)</w:t>
      </w:r>
      <w:r>
        <w:rPr>
          <w:rFonts w:ascii="Arial" w:hAnsi="Arial"/>
          <w:color w:val="000000"/>
        </w:rPr>
        <w:t xml:space="preserve"> checks for the responsible adults within the section. This will include not only those in direct charge but anybody who has direct unsupervised access to the young persons or vulnerable adults.</w:t>
      </w:r>
    </w:p>
    <w:p>
      <w:pPr>
        <w:pStyle w:val="Normal"/>
        <w:ind w:hanging="0" w:right="0"/>
        <w:rPr>
          <w:rFonts w:ascii="Arial" w:hAnsi="Arial"/>
          <w:color w:val="000000"/>
        </w:rPr>
      </w:pPr>
      <w:r>
        <w:rPr>
          <w:rFonts w:ascii="Arial" w:hAnsi="Arial"/>
          <w:color w:val="000000"/>
        </w:rPr>
      </w:r>
    </w:p>
    <w:p>
      <w:pPr>
        <w:pStyle w:val="Subtitle"/>
        <w:numPr>
          <w:ilvl w:val="0"/>
          <w:numId w:val="1"/>
        </w:numPr>
        <w:rPr>
          <w:rFonts w:ascii="Arial" w:hAnsi="Arial"/>
        </w:rPr>
      </w:pPr>
      <w:r>
        <w:rPr>
          <w:rFonts w:ascii="Arial" w:hAnsi="Arial"/>
          <w:color w:val="000000"/>
          <w:szCs w:val="24"/>
        </w:rPr>
        <w:t>Any organisations or individuals hiring the hall for the purposes of holding activities where Ofsted registration is required should show their registration and their own Child Protection Policy. A record of such checks will be kept in a manner to be determined by the Management Committee. The safeguarding lead trustee will be the Association Chair and this person has the overall responsibility for safeguarding and child protection.</w:t>
      </w:r>
    </w:p>
    <w:p>
      <w:pPr>
        <w:pStyle w:val="Normal"/>
        <w:rPr/>
      </w:pPr>
      <w:r>
        <w:rPr/>
      </w:r>
    </w:p>
    <w:p>
      <w:pPr>
        <w:pStyle w:val="Subtitle"/>
        <w:numPr>
          <w:ilvl w:val="0"/>
          <w:numId w:val="1"/>
        </w:numPr>
        <w:spacing w:lineRule="auto" w:line="240"/>
        <w:rPr>
          <w:rFonts w:ascii="Arial" w:hAnsi="Arial"/>
        </w:rPr>
      </w:pPr>
      <w:r>
        <w:rPr>
          <w:rFonts w:ascii="Arial" w:hAnsi="Arial"/>
          <w:color w:val="000000"/>
          <w:szCs w:val="24"/>
        </w:rPr>
        <w:t>The Management Committee will ensure that the premises are kept safe for use by children and vulnerable adults. The Management Committee recognises that a higher standard of safety is required where use is made by small children, those who cannot read safety notices and physically disabled adults.</w:t>
      </w:r>
    </w:p>
    <w:p>
      <w:pPr>
        <w:pStyle w:val="Normal"/>
        <w:rPr>
          <w:rFonts w:ascii="Arial" w:hAnsi="Arial"/>
        </w:rPr>
      </w:pPr>
      <w:r>
        <w:rPr>
          <w:rFonts w:ascii="Arial" w:hAnsi="Arial"/>
        </w:rPr>
      </w:r>
    </w:p>
    <w:p>
      <w:pPr>
        <w:pStyle w:val="Subtitle"/>
        <w:numPr>
          <w:ilvl w:val="0"/>
          <w:numId w:val="1"/>
        </w:numPr>
        <w:rPr>
          <w:color w:val="000000"/>
        </w:rPr>
      </w:pPr>
      <w:r>
        <w:rPr>
          <w:rFonts w:ascii="Arial" w:hAnsi="Arial"/>
          <w:color w:val="000000"/>
          <w:szCs w:val="24"/>
        </w:rPr>
        <w:t>The Management Committee will satisfy itself that users as above have procedures in place to:</w:t>
      </w:r>
    </w:p>
    <w:p>
      <w:pPr>
        <w:pStyle w:val="Subtitle"/>
        <w:numPr>
          <w:ilvl w:val="0"/>
          <w:numId w:val="3"/>
        </w:numPr>
        <w:rPr>
          <w:color w:val="000000"/>
        </w:rPr>
      </w:pPr>
      <w:r>
        <w:rPr>
          <w:rFonts w:ascii="Arial" w:hAnsi="Arial"/>
          <w:color w:val="000000"/>
          <w:szCs w:val="24"/>
        </w:rPr>
        <w:t>Ensure that their vulnerable charges do not leave the area designated for their activity without appropriate supervision.</w:t>
      </w:r>
    </w:p>
    <w:p>
      <w:pPr>
        <w:pStyle w:val="Subtitle"/>
        <w:numPr>
          <w:ilvl w:val="0"/>
          <w:numId w:val="3"/>
        </w:numPr>
        <w:rPr>
          <w:color w:val="000000"/>
        </w:rPr>
      </w:pPr>
      <w:r>
        <w:rPr>
          <w:rFonts w:ascii="Arial" w:hAnsi="Arial"/>
          <w:color w:val="000000"/>
          <w:szCs w:val="24"/>
        </w:rPr>
        <w:t>Protect against unsupervised access by the public.</w:t>
      </w:r>
    </w:p>
    <w:p>
      <w:pPr>
        <w:pStyle w:val="BodyText"/>
        <w:numPr>
          <w:ilvl w:val="0"/>
          <w:numId w:val="3"/>
        </w:numPr>
        <w:rPr>
          <w:color w:val="000000"/>
        </w:rPr>
      </w:pPr>
      <w:r>
        <w:rPr>
          <w:rFonts w:ascii="Arial" w:hAnsi="Arial"/>
          <w:color w:val="000000"/>
          <w:szCs w:val="24"/>
        </w:rPr>
        <w:t>Undertake a review immediately and within 3 working days to assemble the facts of any breach of the above points and establish any immediate action needed to ensure a vulnerable charge’s safety.</w:t>
      </w:r>
    </w:p>
    <w:p>
      <w:pPr>
        <w:pStyle w:val="Subtitle"/>
        <w:numPr>
          <w:ilvl w:val="0"/>
          <w:numId w:val="1"/>
        </w:numPr>
        <w:spacing w:before="0" w:after="0"/>
        <w:rPr>
          <w:rFonts w:ascii="Arial" w:hAnsi="Arial"/>
        </w:rPr>
      </w:pPr>
      <w:r>
        <w:rPr>
          <w:rFonts w:ascii="Arial" w:hAnsi="Arial"/>
          <w:color w:val="000000"/>
          <w:szCs w:val="24"/>
        </w:rPr>
        <w:t>The Management Committee will ensure that hirers are made aware of their obligations under the Licensing Act 2003 to ensure that alcohol is not sold to those under the age of 18. The committee will ensure that hirers are aware that no children may be admitted to films when they are below the age classification for the film or show. No gambling or entertainment of an adult or sexual nature shall be permitted on the premises.</w:t>
      </w:r>
    </w:p>
    <w:p>
      <w:pPr>
        <w:pStyle w:val="Normal"/>
        <w:rPr>
          <w:rFonts w:ascii="Arial" w:hAnsi="Arial"/>
        </w:rPr>
      </w:pPr>
      <w:r>
        <w:rPr>
          <w:rFonts w:ascii="Arial" w:hAnsi="Arial"/>
        </w:rPr>
      </w:r>
    </w:p>
    <w:p>
      <w:pPr>
        <w:pStyle w:val="Subtitle"/>
        <w:numPr>
          <w:ilvl w:val="0"/>
          <w:numId w:val="1"/>
        </w:numPr>
        <w:spacing w:before="0" w:after="113"/>
        <w:rPr>
          <w:rFonts w:ascii="Arial" w:hAnsi="Arial"/>
        </w:rPr>
      </w:pPr>
      <w:r>
        <w:rPr>
          <w:rFonts w:ascii="Arial" w:hAnsi="Arial"/>
          <w:color w:val="000000"/>
          <w:szCs w:val="24"/>
        </w:rPr>
        <w:t>The Management Committee fully recognises the contribution this policy can make to keeping children and vulnerable adults safe:</w:t>
      </w:r>
    </w:p>
    <w:p>
      <w:pPr>
        <w:pStyle w:val="BodyText"/>
        <w:numPr>
          <w:ilvl w:val="0"/>
          <w:numId w:val="0"/>
        </w:numPr>
        <w:spacing w:lineRule="auto" w:line="240" w:before="0" w:after="113"/>
        <w:ind w:hanging="0" w:left="397"/>
        <w:rPr>
          <w:rFonts w:ascii="Arial" w:hAnsi="Arial"/>
        </w:rPr>
      </w:pPr>
      <w:r>
        <w:rPr>
          <w:rFonts w:ascii="Arial" w:hAnsi="Arial"/>
          <w:color w:val="000000"/>
          <w:szCs w:val="24"/>
        </w:rPr>
        <w:t xml:space="preserve">(a) </w:t>
      </w:r>
      <w:r>
        <w:rPr>
          <w:rFonts w:ascii="Arial" w:hAnsi="Arial"/>
          <w:b/>
          <w:bCs/>
          <w:color w:val="000000"/>
          <w:szCs w:val="24"/>
        </w:rPr>
        <w:t>Prevention</w:t>
      </w:r>
      <w:r>
        <w:rPr>
          <w:rFonts w:ascii="Arial" w:hAnsi="Arial"/>
          <w:color w:val="000000"/>
          <w:szCs w:val="24"/>
        </w:rPr>
        <w:t xml:space="preserve"> - positive centre atmosphere, careful and vigilant staff, support to user groups and individuals, providing good adult role models and the identification of early and additional support/services to children and vulnerable adults and recognising and reducing risks to children and vulnerable adults including, but not limited to:</w:t>
      </w:r>
    </w:p>
    <w:p>
      <w:pPr>
        <w:pStyle w:val="BodyText"/>
        <w:numPr>
          <w:ilvl w:val="0"/>
          <w:numId w:val="2"/>
        </w:numPr>
        <w:spacing w:lineRule="auto" w:line="240" w:before="0" w:after="57"/>
        <w:rPr>
          <w:rFonts w:ascii="Arial" w:hAnsi="Arial"/>
        </w:rPr>
      </w:pPr>
      <w:r>
        <w:rPr>
          <w:rFonts w:ascii="Arial" w:hAnsi="Arial"/>
          <w:color w:val="000000"/>
          <w:szCs w:val="24"/>
        </w:rPr>
        <w:t>Emotional harm;</w:t>
      </w:r>
    </w:p>
    <w:p>
      <w:pPr>
        <w:pStyle w:val="BodyText"/>
        <w:numPr>
          <w:ilvl w:val="0"/>
          <w:numId w:val="2"/>
        </w:numPr>
        <w:spacing w:lineRule="auto" w:line="240" w:before="0" w:after="57"/>
        <w:rPr/>
      </w:pPr>
      <w:r>
        <w:rPr>
          <w:rFonts w:ascii="Arial" w:hAnsi="Arial"/>
          <w:color w:val="000000"/>
          <w:szCs w:val="24"/>
        </w:rPr>
        <w:t>Physical abuse;</w:t>
      </w:r>
    </w:p>
    <w:p>
      <w:pPr>
        <w:pStyle w:val="BodyText"/>
        <w:numPr>
          <w:ilvl w:val="0"/>
          <w:numId w:val="2"/>
        </w:numPr>
        <w:spacing w:lineRule="auto" w:line="240" w:before="0" w:after="57"/>
        <w:rPr/>
      </w:pPr>
      <w:r>
        <w:rPr>
          <w:rFonts w:ascii="Arial" w:hAnsi="Arial"/>
          <w:color w:val="000000"/>
          <w:szCs w:val="24"/>
        </w:rPr>
        <w:t>Bullying/cyber-bullying, prejudice-based and discriminatory bullying;</w:t>
      </w:r>
    </w:p>
    <w:p>
      <w:pPr>
        <w:pStyle w:val="BodyText"/>
        <w:numPr>
          <w:ilvl w:val="0"/>
          <w:numId w:val="2"/>
        </w:numPr>
        <w:spacing w:lineRule="auto" w:line="240" w:before="0" w:after="57"/>
        <w:rPr/>
      </w:pPr>
      <w:r>
        <w:rPr>
          <w:rFonts w:ascii="Arial" w:hAnsi="Arial"/>
          <w:color w:val="000000"/>
          <w:szCs w:val="24"/>
        </w:rPr>
        <w:t>Sexual abuse (including sexual harassment/violence and exploitation);</w:t>
      </w:r>
    </w:p>
    <w:p>
      <w:pPr>
        <w:pStyle w:val="BodyText"/>
        <w:numPr>
          <w:ilvl w:val="0"/>
          <w:numId w:val="2"/>
        </w:numPr>
        <w:spacing w:lineRule="auto" w:line="240" w:before="0" w:after="57"/>
        <w:rPr/>
      </w:pPr>
      <w:r>
        <w:rPr>
          <w:rFonts w:ascii="Arial" w:hAnsi="Arial"/>
          <w:color w:val="000000"/>
          <w:szCs w:val="24"/>
        </w:rPr>
        <w:t>Domestic abuse in their own intimate relationships (teenage relationship abuse);</w:t>
      </w:r>
    </w:p>
    <w:p>
      <w:pPr>
        <w:pStyle w:val="BodyText"/>
        <w:numPr>
          <w:ilvl w:val="0"/>
          <w:numId w:val="2"/>
        </w:numPr>
        <w:spacing w:lineRule="auto" w:line="240" w:before="0" w:after="57"/>
        <w:rPr>
          <w:rFonts w:ascii="Arial" w:hAnsi="Arial"/>
        </w:rPr>
      </w:pPr>
      <w:r>
        <w:rPr>
          <w:rFonts w:ascii="Arial" w:hAnsi="Arial"/>
          <w:color w:val="000000"/>
          <w:szCs w:val="24"/>
        </w:rPr>
        <w:t>Criminal exploitation, serious youth violence, county lines and radicalisation (PREVENT);</w:t>
      </w:r>
    </w:p>
    <w:p>
      <w:pPr>
        <w:pStyle w:val="BodyText"/>
        <w:numPr>
          <w:ilvl w:val="0"/>
          <w:numId w:val="2"/>
        </w:numPr>
        <w:rPr>
          <w:rFonts w:ascii="Arial" w:hAnsi="Arial"/>
        </w:rPr>
      </w:pPr>
      <w:r>
        <w:rPr>
          <w:rFonts w:ascii="Arial" w:hAnsi="Arial"/>
          <w:color w:val="000000"/>
          <w:szCs w:val="24"/>
        </w:rPr>
        <w:t>‘</w:t>
      </w:r>
      <w:r>
        <w:rPr>
          <w:rFonts w:ascii="Arial" w:hAnsi="Arial"/>
          <w:color w:val="000000"/>
          <w:szCs w:val="24"/>
        </w:rPr>
        <w:t>Honour’ - Based Abuse, Female Genital Mutilation and Forced Marriage.</w:t>
      </w:r>
    </w:p>
    <w:p>
      <w:pPr>
        <w:pStyle w:val="Normal"/>
        <w:widowControl/>
        <w:suppressAutoHyphens w:val="true"/>
        <w:bidi w:val="0"/>
        <w:spacing w:before="0" w:after="0"/>
        <w:ind w:hanging="0" w:left="340" w:right="0"/>
        <w:jc w:val="left"/>
        <w:rPr>
          <w:rFonts w:ascii="Arial" w:hAnsi="Arial"/>
          <w:color w:val="000000"/>
        </w:rPr>
      </w:pPr>
      <w:r>
        <w:rPr>
          <w:rFonts w:ascii="Arial" w:hAnsi="Arial"/>
          <w:color w:val="000000"/>
        </w:rPr>
        <w:t xml:space="preserve">(b) </w:t>
      </w:r>
      <w:r>
        <w:rPr>
          <w:rFonts w:ascii="Arial" w:hAnsi="Arial"/>
          <w:b/>
          <w:bCs/>
          <w:color w:val="000000"/>
        </w:rPr>
        <w:t>Protection</w:t>
      </w:r>
      <w:r>
        <w:rPr>
          <w:rFonts w:ascii="Arial" w:hAnsi="Arial"/>
          <w:color w:val="000000"/>
        </w:rPr>
        <w:t xml:space="preserve"> - following agreed procedures, ensuring all staff respond appropriately and sensitively to child protection concerns and that appropriate members of staff have regular training and updates and are supported to refer their concerns to the centre’s Designated Safeguarding Lead (DSL), Mr Ken Gates (Chair - 07853 010 593). Child protection is everyone’s responsibility and should the DSL be unavailable concerns should be shared directly with other trustees.</w:t>
      </w:r>
    </w:p>
    <w:p>
      <w:pPr>
        <w:pStyle w:val="Subtitle"/>
        <w:rPr>
          <w:rFonts w:ascii="Arial" w:hAnsi="Arial"/>
          <w:color w:val="000000"/>
          <w:szCs w:val="24"/>
        </w:rPr>
      </w:pPr>
      <w:r>
        <w:rPr>
          <w:rFonts w:ascii="Arial" w:hAnsi="Arial"/>
          <w:color w:val="000000"/>
          <w:szCs w:val="24"/>
        </w:rPr>
      </w:r>
    </w:p>
    <w:p>
      <w:pPr>
        <w:pStyle w:val="Subtitle"/>
        <w:numPr>
          <w:ilvl w:val="0"/>
          <w:numId w:val="1"/>
        </w:numPr>
        <w:rPr>
          <w:rFonts w:ascii="Arial" w:hAnsi="Arial"/>
        </w:rPr>
      </w:pPr>
      <w:r>
        <w:rPr>
          <w:rFonts w:ascii="Arial" w:hAnsi="Arial"/>
          <w:color w:val="000000"/>
          <w:szCs w:val="24"/>
        </w:rPr>
        <w:t>These policies and procedures will be reviewed annually and updated as appropriate in the interim periods.</w:t>
      </w:r>
    </w:p>
    <w:p>
      <w:pPr>
        <w:pStyle w:val="Normal"/>
        <w:rPr>
          <w:rFonts w:ascii="Arial" w:hAnsi="Arial"/>
          <w:color w:val="000000"/>
          <w:szCs w:val="24"/>
        </w:rPr>
      </w:pPr>
      <w:r>
        <w:rPr>
          <w:rFonts w:ascii="Arial" w:hAnsi="Arial"/>
          <w:color w:val="000000"/>
          <w:szCs w:val="24"/>
        </w:rPr>
      </w:r>
    </w:p>
    <w:p>
      <w:pPr>
        <w:pStyle w:val="Subtitle"/>
        <w:numPr>
          <w:ilvl w:val="0"/>
          <w:numId w:val="1"/>
        </w:numPr>
        <w:rPr>
          <w:rFonts w:ascii="Arial" w:hAnsi="Arial"/>
        </w:rPr>
      </w:pPr>
      <w:r>
        <w:rPr>
          <w:rFonts w:ascii="Arial" w:hAnsi="Arial"/>
          <w:color w:val="000000"/>
          <w:szCs w:val="24"/>
        </w:rPr>
        <w:t>All suspicions or allegations of abuse against a child will be taken seriously and dealt with speedily and appropriately.</w:t>
      </w:r>
    </w:p>
    <w:p>
      <w:pPr>
        <w:pStyle w:val="Normal"/>
        <w:rPr>
          <w:rFonts w:ascii="Arial" w:hAnsi="Arial"/>
        </w:rPr>
      </w:pPr>
      <w:r>
        <w:rPr>
          <w:rFonts w:ascii="Arial" w:hAnsi="Arial"/>
        </w:rPr>
      </w:r>
    </w:p>
    <w:p>
      <w:pPr>
        <w:pStyle w:val="BodyText"/>
        <w:spacing w:lineRule="auto" w:line="240" w:before="0" w:after="0"/>
        <w:rPr>
          <w:b/>
          <w:bCs/>
        </w:rPr>
      </w:pPr>
      <w:r>
        <w:rPr>
          <w:rFonts w:ascii="Arial" w:hAnsi="Arial"/>
          <w:b/>
          <w:bCs/>
          <w:color w:val="000000"/>
          <w:szCs w:val="24"/>
        </w:rPr>
        <w:t>Framework and Legislation</w:t>
      </w:r>
    </w:p>
    <w:p>
      <w:pPr>
        <w:pStyle w:val="BodyText"/>
        <w:spacing w:lineRule="auto" w:line="240" w:before="0" w:after="113"/>
        <w:rPr/>
      </w:pPr>
      <w:r>
        <w:rPr>
          <w:rFonts w:ascii="Arial" w:hAnsi="Arial"/>
          <w:color w:val="000000"/>
          <w:szCs w:val="24"/>
        </w:rPr>
        <w:t>Keeping children and vulnerable adults sa</w:t>
      </w:r>
      <w:r>
        <w:rPr>
          <w:rFonts w:eastAsia="Times New Roman" w:cs="Times New Roman" w:ascii="Arial" w:hAnsi="Arial"/>
          <w:color w:val="000000"/>
          <w:kern w:val="0"/>
          <w:sz w:val="24"/>
          <w:szCs w:val="24"/>
          <w:lang w:val="en-GB" w:eastAsia="zh-CN" w:bidi="ar-SA"/>
        </w:rPr>
        <w:t>fe where there is concern about si</w:t>
      </w:r>
      <w:r>
        <w:rPr>
          <w:rFonts w:ascii="Arial" w:hAnsi="Arial"/>
          <w:color w:val="000000"/>
          <w:szCs w:val="24"/>
        </w:rPr>
        <w:t xml:space="preserve">gnificant harm is the responsibility of all adults. The development of appropriate procedures and the monitoring of good practice are the responsibilities of Durham Safeguarding Children Partnership, which includes the partnership of several agencies who work with children and families across the City. Framwellgate Moor Youth &amp; Community Association is committed to keeping children safe and safeguarding all children/vulnerable adults in accordance with Child Protection. </w:t>
      </w:r>
    </w:p>
    <w:p>
      <w:pPr>
        <w:pStyle w:val="BodyText"/>
        <w:spacing w:lineRule="auto" w:line="240" w:before="0" w:after="113"/>
        <w:rPr/>
      </w:pPr>
      <w:r>
        <w:rPr>
          <w:rFonts w:ascii="Arial" w:hAnsi="Arial"/>
          <w:color w:val="000000"/>
          <w:szCs w:val="24"/>
        </w:rPr>
        <w:t xml:space="preserve">Significant harm is defined in The Children’s Act 1989 as the ill-treatment (including sexual abuse and physical abuse) or the impairment of health (physical or mental) or development (physical, intellectual, emotional, social or behavioural) as compared to a similar child. </w:t>
      </w:r>
    </w:p>
    <w:p>
      <w:pPr>
        <w:pStyle w:val="BodyText"/>
        <w:spacing w:lineRule="auto" w:line="240" w:before="0" w:after="113"/>
        <w:rPr/>
      </w:pPr>
      <w:r>
        <w:rPr>
          <w:rFonts w:ascii="Arial" w:hAnsi="Arial"/>
          <w:i/>
          <w:iCs/>
          <w:color w:val="000000"/>
          <w:szCs w:val="24"/>
        </w:rPr>
        <w:t>Note</w:t>
      </w:r>
      <w:r>
        <w:rPr>
          <w:rFonts w:ascii="Arial" w:hAnsi="Arial"/>
          <w:color w:val="000000"/>
          <w:szCs w:val="24"/>
        </w:rPr>
        <w:t>: harm now includes the impairment of a child’s health or development as a result of witnessing the ill treatment of another person. (Adoption and Children Act 2002).</w:t>
      </w:r>
    </w:p>
    <w:p>
      <w:pPr>
        <w:pStyle w:val="BodyText"/>
        <w:spacing w:lineRule="auto" w:line="240" w:before="0" w:after="113"/>
        <w:rPr/>
      </w:pPr>
      <w:r>
        <w:rPr>
          <w:rFonts w:ascii="Arial" w:hAnsi="Arial"/>
          <w:color w:val="000000"/>
          <w:szCs w:val="24"/>
        </w:rPr>
        <w:t>Local Authorities have a duty to investigate (under S47 of the Children Act 1989). Where a Local Authority is informed that there is a child who is living, or is found, in their area and they have reasonable cause to suspect that child is suffering or is likely to suffer significant harm they must make such enquiries as necessary to promote or safeguard the child’s welfare. First Contact Service undertakes this responsibility on behalf of the Local Authority once a referral has been made.</w:t>
      </w:r>
    </w:p>
    <w:p>
      <w:pPr>
        <w:pStyle w:val="Subtitle"/>
        <w:rPr>
          <w:rFonts w:ascii="Arial" w:hAnsi="Arial"/>
          <w:color w:val="000000"/>
          <w:szCs w:val="24"/>
        </w:rPr>
      </w:pPr>
      <w:r>
        <w:rPr>
          <w:rFonts w:ascii="Arial" w:hAnsi="Arial"/>
          <w:color w:val="000000"/>
          <w:szCs w:val="24"/>
        </w:rPr>
      </w:r>
    </w:p>
    <w:p>
      <w:pPr>
        <w:pStyle w:val="Subtitle"/>
        <w:rPr>
          <w:sz w:val="20"/>
          <w:szCs w:val="20"/>
        </w:rPr>
      </w:pPr>
      <w:r>
        <w:rPr>
          <w:rFonts w:ascii="Arial" w:hAnsi="Arial"/>
          <w:i/>
          <w:iCs/>
          <w:color w:val="000000"/>
          <w:sz w:val="20"/>
          <w:szCs w:val="20"/>
        </w:rPr>
        <w:t>References: ‘Working together to safeguard children’ DfES (2018); ‘Safeguarding Children and Safer Recruitment in Education’ DfES (2012); Adoption and Children Act 2002; Children Act 1989 Volume 2</w:t>
      </w:r>
    </w:p>
    <w:p>
      <w:pPr>
        <w:pStyle w:val="Normal"/>
        <w:rPr>
          <w:rFonts w:ascii="Arial" w:hAnsi="Arial"/>
          <w:color w:val="000000"/>
          <w:szCs w:val="24"/>
        </w:rPr>
      </w:pPr>
      <w:r>
        <w:rPr>
          <w:rFonts w:ascii="Arial" w:hAnsi="Arial"/>
          <w:color w:val="000000"/>
          <w:szCs w:val="24"/>
        </w:rPr>
      </w:r>
    </w:p>
    <w:p>
      <w:pPr>
        <w:pStyle w:val="Normal"/>
        <w:rPr>
          <w:rFonts w:ascii="Arial" w:hAnsi="Arial"/>
        </w:rPr>
      </w:pPr>
      <w:r>
        <w:rPr>
          <w:rFonts w:ascii="Arial" w:hAnsi="Arial"/>
        </w:rPr>
      </w:r>
      <w:r>
        <w:br w:type="page"/>
      </w:r>
    </w:p>
    <w:p>
      <w:pPr>
        <w:pStyle w:val="Normal"/>
        <w:spacing w:before="0" w:after="0"/>
        <w:rPr>
          <w:rFonts w:ascii="Arial" w:hAnsi="Arial"/>
        </w:rPr>
      </w:pPr>
      <w:r>
        <w:rPr>
          <w:rFonts w:ascii="Arial" w:hAnsi="Arial"/>
          <w:color w:val="000000"/>
        </w:rPr>
        <w:t>Children and Vulnerable Adults Policy Statement will be regularly reviewed and updated as necessary. The Trustees Management Committee endorses these policy statements and is fully committed to their implementation.</w:t>
      </w:r>
    </w:p>
    <w:p>
      <w:pPr>
        <w:pStyle w:val="Normal"/>
        <w:rPr>
          <w:rFonts w:ascii="Arial" w:hAnsi="Arial"/>
        </w:rPr>
      </w:pPr>
      <w:r>
        <w:rPr>
          <w:rFonts w:ascii="Arial" w:hAnsi="Arial"/>
          <w:color w:val="000000"/>
        </w:rPr>
        <w:br/>
      </w:r>
    </w:p>
    <w:p>
      <w:pPr>
        <w:pStyle w:val="Normal"/>
        <w:jc w:val="both"/>
        <w:rPr>
          <w:rFonts w:ascii="Arial" w:hAnsi="Arial"/>
        </w:rPr>
      </w:pPr>
      <w:r>
        <w:rPr>
          <w:rFonts w:cs="Arial" w:ascii="Arial" w:hAnsi="Arial"/>
          <w:b/>
          <w:color w:val="000000"/>
          <w:lang w:val="en-US" w:bidi="en-GB"/>
        </w:rPr>
        <w:t>NOTES:</w:t>
      </w:r>
    </w:p>
    <w:p>
      <w:pPr>
        <w:pStyle w:val="Normal"/>
        <w:rPr>
          <w:rFonts w:ascii="Arial" w:hAnsi="Arial"/>
        </w:rPr>
      </w:pPr>
      <w:r>
        <w:rPr>
          <w:rFonts w:ascii="Arial" w:hAnsi="Arial"/>
          <w:color w:val="000000"/>
        </w:rPr>
        <w:t>This Children and Vulnerable Adults Safeguarding Policy Statement has been approved &amp; authorised by:</w:t>
      </w:r>
    </w:p>
    <w:p>
      <w:pPr>
        <w:pStyle w:val="Normal"/>
        <w:rPr>
          <w:rFonts w:ascii="Arial" w:hAnsi="Arial"/>
        </w:rPr>
      </w:pPr>
      <w:r>
        <w:rPr>
          <w:rFonts w:ascii="Arial" w:hAnsi="Arial"/>
          <w:color w:val="000000"/>
        </w:rPr>
        <w:t xml:space="preserve"> </w:t>
      </w:r>
    </w:p>
    <w:tbl>
      <w:tblPr>
        <w:tblW w:w="9585" w:type="dxa"/>
        <w:jc w:val="left"/>
        <w:tblInd w:w="129" w:type="dxa"/>
        <w:tblLayout w:type="fixed"/>
        <w:tblCellMar>
          <w:top w:w="0" w:type="dxa"/>
          <w:left w:w="108" w:type="dxa"/>
          <w:bottom w:w="0" w:type="dxa"/>
          <w:right w:w="108" w:type="dxa"/>
        </w:tblCellMar>
      </w:tblPr>
      <w:tblGrid>
        <w:gridCol w:w="2490"/>
        <w:gridCol w:w="7025"/>
        <w:gridCol w:w="70"/>
      </w:tblGrid>
      <w:tr>
        <w:trPr/>
        <w:tc>
          <w:tcPr>
            <w:tcW w:w="2490" w:type="dxa"/>
            <w:tcBorders>
              <w:top w:val="single" w:sz="2" w:space="0" w:color="000000"/>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Name:</w:t>
            </w:r>
          </w:p>
        </w:tc>
        <w:tc>
          <w:tcPr>
            <w:tcW w:w="7025" w:type="dxa"/>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eastAsia="Times New Roman" w:cs="Arial" w:ascii="Arial" w:hAnsi="Arial"/>
                <w:color w:val="000000"/>
                <w:sz w:val="22"/>
                <w:szCs w:val="22"/>
                <w:lang w:val="en-GB" w:eastAsia="zh-CN" w:bidi="ar-SA"/>
              </w:rPr>
              <w:t>Colin Hilary</w:t>
            </w:r>
          </w:p>
        </w:tc>
        <w:tc>
          <w:tcPr>
            <w:tcW w:w="70" w:type="dxa"/>
            <w:tcBorders/>
            <w:tcMar>
              <w:left w:w="0" w:type="dxa"/>
              <w:right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Position:</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napToGrid w:val="false"/>
              <w:spacing w:before="57" w:after="57"/>
              <w:rPr>
                <w:rFonts w:ascii="Arial" w:hAnsi="Arial"/>
              </w:rPr>
            </w:pPr>
            <w:r>
              <w:rPr>
                <w:rFonts w:eastAsia="Times New Roman" w:cs="Arial" w:ascii="Arial" w:hAnsi="Arial"/>
                <w:color w:val="000000"/>
                <w:sz w:val="22"/>
                <w:szCs w:val="22"/>
                <w:lang w:val="en-GB" w:eastAsia="zh-CN" w:bidi="ar-SA"/>
              </w:rPr>
              <w:t>Chair of trustees</w:t>
            </w:r>
          </w:p>
        </w:tc>
        <w:tc>
          <w:tcPr>
            <w:tcW w:w="70" w:type="dxa"/>
            <w:tcBorders/>
            <w:tcMar>
              <w:left w:w="0" w:type="dxa"/>
              <w:right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Original Date agreed:</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color w:val="000000"/>
                <w:sz w:val="22"/>
                <w:szCs w:val="22"/>
              </w:rPr>
              <w:t>04/03/2013</w:t>
            </w:r>
          </w:p>
        </w:tc>
        <w:tc>
          <w:tcPr>
            <w:tcW w:w="70" w:type="dxa"/>
            <w:tcBorders/>
            <w:tcMar>
              <w:left w:w="0" w:type="dxa"/>
              <w:right w:w="0" w:type="dxa"/>
            </w:tcMar>
          </w:tcPr>
          <w:p>
            <w:pPr>
              <w:pStyle w:val="Normal"/>
              <w:widowControl w:val="false"/>
              <w:snapToGrid w:val="false"/>
              <w:rPr>
                <w:rFonts w:ascii="Arial" w:hAnsi="Arial" w:eastAsia="Times New Roman" w:cs="Arial"/>
                <w:b/>
                <w:bCs/>
                <w:color w:val="000000"/>
                <w:sz w:val="22"/>
                <w:szCs w:val="22"/>
                <w:lang w:eastAsia="en-GB" w:bidi="en-GB"/>
              </w:rPr>
            </w:pPr>
            <w:r>
              <w:rPr>
                <w:rFonts w:eastAsia="Times New Roman" w:cs="Arial" w:ascii="Arial" w:hAnsi="Arial"/>
                <w:b/>
                <w:bCs/>
                <w:color w:val="000000"/>
                <w:sz w:val="22"/>
                <w:szCs w:val="22"/>
                <w:lang w:eastAsia="en-GB" w:bidi="en-GB"/>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b/>
                <w:bCs/>
              </w:rPr>
            </w:pPr>
            <w:r>
              <w:rPr>
                <w:rFonts w:ascii="Arial" w:hAnsi="Arial"/>
                <w:b/>
                <w:bCs/>
              </w:rPr>
              <w:t>Significant update:</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sz w:val="22"/>
                <w:szCs w:val="22"/>
              </w:rPr>
            </w:pPr>
            <w:r>
              <w:rPr>
                <w:rFonts w:ascii="Arial" w:hAnsi="Arial"/>
                <w:sz w:val="22"/>
                <w:szCs w:val="22"/>
              </w:rPr>
              <w:t xml:space="preserve">04/09/2023 </w:t>
            </w:r>
            <w:r>
              <w:rPr>
                <w:rFonts w:eastAsia="Times New Roman" w:cs="Arial" w:ascii="Arial" w:hAnsi="Arial"/>
                <w:color w:val="000000"/>
                <w:sz w:val="22"/>
                <w:szCs w:val="22"/>
                <w:lang w:val="en-GB" w:eastAsia="zh-CN" w:bidi="ar-SA"/>
              </w:rPr>
              <w:t>Chair of trustees: Ken Gates</w:t>
            </w:r>
          </w:p>
        </w:tc>
        <w:tc>
          <w:tcPr>
            <w:tcW w:w="70" w:type="dxa"/>
            <w:tcBorders/>
            <w:tcMar>
              <w:left w:w="0" w:type="dxa"/>
              <w:right w:w="0" w:type="dxa"/>
            </w:tcMar>
          </w:tcPr>
          <w:p>
            <w:pPr>
              <w:pStyle w:val="Normal"/>
              <w:widowControl w:val="false"/>
              <w:snapToGrid w:val="false"/>
              <w:rPr>
                <w:rFonts w:ascii="Arial" w:hAnsi="Arial" w:eastAsia="Times New Roman" w:cs="Arial"/>
                <w:b/>
                <w:bCs/>
                <w:color w:val="000000"/>
                <w:sz w:val="22"/>
                <w:szCs w:val="22"/>
                <w:lang w:eastAsia="en-GB" w:bidi="en-GB"/>
              </w:rPr>
            </w:pPr>
            <w:r>
              <w:rPr>
                <w:rFonts w:eastAsia="Times New Roman" w:cs="Arial" w:ascii="Arial" w:hAnsi="Arial"/>
                <w:b/>
                <w:bCs/>
                <w:color w:val="000000"/>
                <w:sz w:val="22"/>
                <w:szCs w:val="22"/>
                <w:lang w:eastAsia="en-GB" w:bidi="en-GB"/>
              </w:rPr>
            </w:r>
          </w:p>
        </w:tc>
      </w:tr>
    </w:tbl>
    <w:p>
      <w:pPr>
        <w:pStyle w:val="Normal"/>
        <w:rPr>
          <w:rFonts w:ascii="Arial" w:hAnsi="Arial"/>
          <w:color w:val="000000"/>
        </w:rPr>
      </w:pPr>
      <w:r>
        <w:rPr>
          <w:rFonts w:ascii="Arial" w:hAnsi="Arial"/>
          <w:color w:val="000000"/>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sz w:val="18"/>
                <w:szCs w:val="18"/>
              </w:rPr>
            </w:pPr>
            <w:r>
              <w:rPr>
                <w:rFonts w:eastAsia="Times New Roman" w:cs="Arial" w:ascii="Arial" w:hAnsi="Arial"/>
                <w:bCs/>
                <w:color w:val="000000"/>
                <w:kern w:val="2"/>
                <w:sz w:val="18"/>
                <w:szCs w:val="18"/>
                <w:lang w:val="en-GB" w:eastAsia="en-GB" w:bidi="en-GB"/>
              </w:rPr>
              <w:t>Previous policy 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18"/>
                <w:szCs w:val="18"/>
                <w:lang w:val="en-GB" w:eastAsia="en-GB" w:bidi="en-GB"/>
              </w:rPr>
              <w:t>Previous policy Management committee (</w:t>
            </w:r>
            <w:r>
              <w:rPr>
                <w:rFonts w:eastAsia="Times New Roman" w:cs="Arial" w:ascii="Arial" w:hAnsi="Arial"/>
                <w:b w:val="false"/>
                <w:bCs w:val="false"/>
                <w:color w:val="000000"/>
                <w:kern w:val="2"/>
                <w:position w:val="0"/>
                <w:sz w:val="18"/>
                <w:szCs w:val="18"/>
                <w:vertAlign w:val="baseline"/>
                <w:lang w:val="en-US" w:eastAsia="en-GB" w:bidi="en-GB"/>
              </w:rPr>
              <w:t xml:space="preserve">Chair </w:t>
            </w:r>
            <w:r>
              <w:rPr>
                <w:rFonts w:eastAsia="Times New Roman" w:cs="Arial" w:ascii="Arial" w:hAnsi="Arial"/>
                <w:bCs/>
                <w:color w:val="000000"/>
                <w:kern w:val="2"/>
                <w:sz w:val="18"/>
                <w:szCs w:val="18"/>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color w:val="000000"/>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Trustees agreement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drawing>
          <wp:anchor distT="0" distB="0" distL="0" distR="0" simplePos="0" relativeHeight="8" behindDoc="0" locked="0" layoutInCell="1" allowOverlap="1">
            <wp:simplePos x="0" y="0"/>
            <wp:positionH relativeFrom="column">
              <wp:posOffset>623570</wp:posOffset>
            </wp:positionH>
            <wp:positionV relativeFrom="paragraph">
              <wp:posOffset>69850</wp:posOffset>
            </wp:positionV>
            <wp:extent cx="1137920" cy="4089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108" t="-298" r="-108" b="-298"/>
                    <a:stretch>
                      <a:fillRect/>
                    </a:stretch>
                  </pic:blipFill>
                  <pic:spPr bwMode="auto">
                    <a:xfrm>
                      <a:off x="0" y="0"/>
                      <a:ext cx="1137920" cy="408940"/>
                    </a:xfrm>
                    <a:prstGeom prst="rect">
                      <a:avLst/>
                    </a:prstGeom>
                    <a:noFill/>
                  </pic:spPr>
                </pic:pic>
              </a:graphicData>
            </a:graphic>
          </wp:anchor>
        </w:drawing>
      </w:r>
    </w:p>
    <w:p>
      <w:pPr>
        <w:pStyle w:val="Default"/>
        <w:rPr>
          <w:rFonts w:ascii="Arial" w:hAnsi="Arial" w:cs="Times New Roman"/>
          <w:color w:val="000000"/>
        </w:rPr>
      </w:pPr>
      <w:r>
        <w:rPr>
          <w:rFonts w:cs="Times New Roman"/>
          <w:color w:val="000000"/>
        </w:rPr>
      </w:r>
    </w:p>
    <w:p>
      <w:pPr>
        <w:pStyle w:val="Default"/>
        <w:rPr>
          <w:rFonts w:ascii="Arial" w:hAnsi="Arial"/>
        </w:rPr>
      </w:pPr>
      <w:r>
        <w:rPr>
          <w:rFonts w:cs="Times New Roman"/>
          <w:color w:val="000000"/>
        </w:rPr>
        <w:t>Signed………………………………</w:t>
        <w:tab/>
        <w:tab/>
      </w:r>
      <w:r>
        <w:rPr>
          <w:rFonts w:eastAsia="Times New Roman" w:cs="Arial"/>
          <w:b w:val="false"/>
          <w:bCs w:val="false"/>
          <w:color w:val="auto"/>
          <w:sz w:val="22"/>
          <w:szCs w:val="22"/>
          <w:lang w:val="en-GB" w:eastAsia="en-GB" w:bidi="en-GB"/>
        </w:rPr>
        <w:t>26/03/2026</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077" w:gutter="0" w:header="1134" w:top="1417"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Verdana">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5" behindDoc="1" locked="0" layoutInCell="1" allowOverlap="1">
              <wp:simplePos x="0" y="0"/>
              <wp:positionH relativeFrom="column">
                <wp:posOffset>0</wp:posOffset>
              </wp:positionH>
              <wp:positionV relativeFrom="paragraph">
                <wp:posOffset>64770</wp:posOffset>
              </wp:positionV>
              <wp:extent cx="5259070" cy="1270"/>
              <wp:effectExtent l="635" t="5080" r="635" b="5080"/>
              <wp:wrapNone/>
              <wp:docPr id="3" name="Image1"/>
              <a:graphic xmlns:a="http://schemas.openxmlformats.org/drawingml/2006/main">
                <a:graphicData uri="http://schemas.microsoft.com/office/word/2010/wordprocessingShape">
                  <wps:wsp>
                    <wps:cNvSpPr/>
                    <wps:spPr>
                      <a:xfrm>
                        <a:off x="0" y="0"/>
                        <a:ext cx="525924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pt" to="414.05pt,5.15pt" stroked="t" o:allowincell="f" style="position:absolute">
              <v:stroke color="black" weight="9360" joinstyle="miter" endcap="flat"/>
              <v:fill o:detectmouseclick="t" on="false"/>
              <w10:wrap type="none"/>
            </v:line>
          </w:pict>
        </mc:Fallback>
      </mc:AlternateContent>
    </w:r>
  </w:p>
  <w:p>
    <w:pPr>
      <w:pStyle w:val="Normal"/>
      <w:jc w:val="left"/>
      <w:rPr>
        <w:color w:val="000000"/>
      </w:rPr>
    </w:pPr>
    <w:r>
      <w:rPr>
        <w:rFonts w:cs="Verdana" w:ascii="Verdana" w:hAnsi="Verdana"/>
        <w:color w:val="000000"/>
        <w:sz w:val="14"/>
        <w:szCs w:val="14"/>
      </w:rPr>
      <w:t xml:space="preserve">FACTFILE Template Document D4-5  </w:t>
    </w:r>
    <w:r>
      <w:rPr>
        <w:rFonts w:cs="Verdana" w:ascii="Verdana" w:hAnsi="Verdana"/>
        <w:color w:val="000000"/>
        <w:sz w:val="14"/>
        <w:szCs w:val="14"/>
      </w:rPr>
      <w:fldChar w:fldCharType="begin"/>
    </w:r>
    <w:r>
      <w:rPr>
        <w:rFonts w:cs="Verdana" w:ascii="Verdana" w:hAnsi="Verdana"/>
        <w:color w:val="000000"/>
        <w:sz w:val="14"/>
        <w:szCs w:val="14"/>
      </w:rPr>
      <w:instrText xml:space="preserve"> FILENAME </w:instrText>
    </w:r>
    <w:r>
      <w:rPr>
        <w:rFonts w:cs="Verdana" w:ascii="Verdana" w:hAnsi="Verdana"/>
        <w:color w:val="000000"/>
        <w:sz w:val="14"/>
        <w:szCs w:val="14"/>
      </w:rPr>
      <w:fldChar w:fldCharType="separate"/>
    </w:r>
    <w:r>
      <w:rPr>
        <w:rFonts w:cs="Verdana" w:ascii="Verdana" w:hAnsi="Verdana"/>
        <w:color w:val="000000"/>
        <w:sz w:val="14"/>
        <w:szCs w:val="14"/>
      </w:rPr>
      <w:t>FMYCA Children and Vulnerable Adults Safeguarding Policy.docx</w:t>
    </w:r>
    <w:r>
      <w:rPr>
        <w:rFonts w:cs="Verdana" w:ascii="Verdana" w:hAnsi="Verdana"/>
        <w:color w:val="000000"/>
        <w:sz w:val="14"/>
        <w:szCs w:val="14"/>
      </w:rPr>
      <w:fldChar w:fldCharType="end"/>
    </w:r>
    <w:r>
      <w:rPr>
        <w:rFonts w:cs="Verdana" w:ascii="Verdana" w:hAnsi="Verdana"/>
        <w:color w:val="000000"/>
        <w:sz w:val="14"/>
        <w:szCs w:val="14"/>
      </w:rPr>
      <w:tab/>
      <w:tab/>
      <w:t xml:space="preserve">Page </w:t>
    </w:r>
    <w:r>
      <w:rPr>
        <w:rFonts w:cs="Verdana" w:ascii="Verdana" w:hAnsi="Verdana"/>
        <w:color w:val="000000"/>
        <w:sz w:val="14"/>
        <w:szCs w:val="14"/>
      </w:rPr>
      <w:fldChar w:fldCharType="begin"/>
    </w:r>
    <w:r>
      <w:rPr>
        <w:rFonts w:cs="Verdana" w:ascii="Verdana" w:hAnsi="Verdana"/>
        <w:color w:val="000000"/>
        <w:sz w:val="14"/>
        <w:szCs w:val="14"/>
      </w:rPr>
      <w:instrText xml:space="preserve"> PAGE </w:instrText>
    </w:r>
    <w:r>
      <w:rPr>
        <w:rFonts w:cs="Verdana" w:ascii="Verdana" w:hAnsi="Verdana"/>
        <w:color w:val="000000"/>
        <w:sz w:val="14"/>
        <w:szCs w:val="14"/>
      </w:rPr>
      <w:fldChar w:fldCharType="separate"/>
    </w:r>
    <w:r>
      <w:rPr>
        <w:rFonts w:cs="Verdana" w:ascii="Verdana" w:hAnsi="Verdana"/>
        <w:color w:val="000000"/>
        <w:sz w:val="14"/>
        <w:szCs w:val="14"/>
      </w:rPr>
      <w:t>4</w:t>
    </w:r>
    <w:r>
      <w:rPr>
        <w:rFonts w:cs="Verdana" w:ascii="Verdana" w:hAnsi="Verdana"/>
        <w:color w:val="000000"/>
        <w:sz w:val="14"/>
        <w:szCs w:val="14"/>
      </w:rPr>
      <w:fldChar w:fldCharType="end"/>
    </w:r>
  </w:p>
  <w:p>
    <w:pPr>
      <w:pStyle w:val="Footer"/>
      <w:rPr>
        <w:rFonts w:ascii="Verdana" w:hAnsi="Verdana" w:cs="Verdana"/>
        <w:color w:val="000000"/>
        <w:sz w:val="18"/>
        <w:szCs w:val="18"/>
      </w:rPr>
    </w:pPr>
    <w:r>
      <w:rPr>
        <w:rFonts w:cs="Verdana" w:ascii="Verdana" w:hAnsi="Verdana"/>
        <w:color w:val="000000"/>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5" behindDoc="1" locked="0" layoutInCell="1" allowOverlap="1">
              <wp:simplePos x="0" y="0"/>
              <wp:positionH relativeFrom="column">
                <wp:posOffset>0</wp:posOffset>
              </wp:positionH>
              <wp:positionV relativeFrom="paragraph">
                <wp:posOffset>64770</wp:posOffset>
              </wp:positionV>
              <wp:extent cx="5259070" cy="1270"/>
              <wp:effectExtent l="635" t="5080" r="635" b="5080"/>
              <wp:wrapNone/>
              <wp:docPr id="4" name="Image1"/>
              <a:graphic xmlns:a="http://schemas.openxmlformats.org/drawingml/2006/main">
                <a:graphicData uri="http://schemas.microsoft.com/office/word/2010/wordprocessingShape">
                  <wps:wsp>
                    <wps:cNvSpPr/>
                    <wps:spPr>
                      <a:xfrm>
                        <a:off x="0" y="0"/>
                        <a:ext cx="525924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pt" to="414.05pt,5.15pt" stroked="t" o:allowincell="f" style="position:absolute">
              <v:stroke color="black" weight="9360" joinstyle="miter" endcap="flat"/>
              <v:fill o:detectmouseclick="t" on="false"/>
              <w10:wrap type="none"/>
            </v:line>
          </w:pict>
        </mc:Fallback>
      </mc:AlternateContent>
    </w:r>
  </w:p>
  <w:p>
    <w:pPr>
      <w:pStyle w:val="Normal"/>
      <w:jc w:val="left"/>
      <w:rPr>
        <w:color w:val="000000"/>
      </w:rPr>
    </w:pPr>
    <w:r>
      <w:rPr>
        <w:rFonts w:cs="Verdana" w:ascii="Verdana" w:hAnsi="Verdana"/>
        <w:color w:val="000000"/>
        <w:sz w:val="14"/>
        <w:szCs w:val="14"/>
      </w:rPr>
      <w:t xml:space="preserve">FACTFILE Template Document D4-5  </w:t>
    </w:r>
    <w:r>
      <w:rPr>
        <w:rFonts w:cs="Verdana" w:ascii="Verdana" w:hAnsi="Verdana"/>
        <w:color w:val="000000"/>
        <w:sz w:val="14"/>
        <w:szCs w:val="14"/>
      </w:rPr>
      <w:fldChar w:fldCharType="begin"/>
    </w:r>
    <w:r>
      <w:rPr>
        <w:rFonts w:cs="Verdana" w:ascii="Verdana" w:hAnsi="Verdana"/>
        <w:color w:val="000000"/>
        <w:sz w:val="14"/>
        <w:szCs w:val="14"/>
      </w:rPr>
      <w:instrText xml:space="preserve"> FILENAME </w:instrText>
    </w:r>
    <w:r>
      <w:rPr>
        <w:rFonts w:cs="Verdana" w:ascii="Verdana" w:hAnsi="Verdana"/>
        <w:color w:val="000000"/>
        <w:sz w:val="14"/>
        <w:szCs w:val="14"/>
      </w:rPr>
      <w:fldChar w:fldCharType="separate"/>
    </w:r>
    <w:r>
      <w:rPr>
        <w:rFonts w:cs="Verdana" w:ascii="Verdana" w:hAnsi="Verdana"/>
        <w:color w:val="000000"/>
        <w:sz w:val="14"/>
        <w:szCs w:val="14"/>
      </w:rPr>
      <w:t>FMYCA Children and Vulnerable Adults Safeguarding Policy.docx</w:t>
    </w:r>
    <w:r>
      <w:rPr>
        <w:rFonts w:cs="Verdana" w:ascii="Verdana" w:hAnsi="Verdana"/>
        <w:color w:val="000000"/>
        <w:sz w:val="14"/>
        <w:szCs w:val="14"/>
      </w:rPr>
      <w:fldChar w:fldCharType="end"/>
    </w:r>
    <w:r>
      <w:rPr>
        <w:rFonts w:cs="Verdana" w:ascii="Verdana" w:hAnsi="Verdana"/>
        <w:color w:val="000000"/>
        <w:sz w:val="14"/>
        <w:szCs w:val="14"/>
      </w:rPr>
      <w:tab/>
      <w:tab/>
      <w:t xml:space="preserve">Page </w:t>
    </w:r>
    <w:r>
      <w:rPr>
        <w:rFonts w:cs="Verdana" w:ascii="Verdana" w:hAnsi="Verdana"/>
        <w:color w:val="000000"/>
        <w:sz w:val="14"/>
        <w:szCs w:val="14"/>
      </w:rPr>
      <w:fldChar w:fldCharType="begin"/>
    </w:r>
    <w:r>
      <w:rPr>
        <w:rFonts w:cs="Verdana" w:ascii="Verdana" w:hAnsi="Verdana"/>
        <w:color w:val="000000"/>
        <w:sz w:val="14"/>
        <w:szCs w:val="14"/>
      </w:rPr>
      <w:instrText xml:space="preserve"> PAGE </w:instrText>
    </w:r>
    <w:r>
      <w:rPr>
        <w:rFonts w:cs="Verdana" w:ascii="Verdana" w:hAnsi="Verdana"/>
        <w:color w:val="000000"/>
        <w:sz w:val="14"/>
        <w:szCs w:val="14"/>
      </w:rPr>
      <w:fldChar w:fldCharType="separate"/>
    </w:r>
    <w:r>
      <w:rPr>
        <w:rFonts w:cs="Verdana" w:ascii="Verdana" w:hAnsi="Verdana"/>
        <w:color w:val="000000"/>
        <w:sz w:val="14"/>
        <w:szCs w:val="14"/>
      </w:rPr>
      <w:t>4</w:t>
    </w:r>
    <w:r>
      <w:rPr>
        <w:rFonts w:cs="Verdana" w:ascii="Verdana" w:hAnsi="Verdana"/>
        <w:color w:val="000000"/>
        <w:sz w:val="14"/>
        <w:szCs w:val="14"/>
      </w:rPr>
      <w:fldChar w:fldCharType="end"/>
    </w:r>
  </w:p>
  <w:p>
    <w:pPr>
      <w:pStyle w:val="Footer"/>
      <w:rPr>
        <w:rFonts w:ascii="Verdana" w:hAnsi="Verdana" w:cs="Verdana"/>
        <w:color w:val="000000"/>
        <w:sz w:val="18"/>
        <w:szCs w:val="18"/>
      </w:rPr>
    </w:pPr>
    <w:r>
      <w:rPr>
        <w:rFonts w:cs="Verdana" w:ascii="Verdana" w:hAnsi="Verdana"/>
        <w:color w:val="000000"/>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397" w:hanging="397"/>
      </w:pPr>
      <w:rPr>
        <w:rFonts w:ascii="Verdana" w:hAnsi="Verdana" w:cs="Verdana"/>
        <w:b w:val="false"/>
        <w:i w:val="false"/>
        <w:color w:val="000000"/>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WW8Num1z0">
    <w:name w:val="WW8Num1z0"/>
    <w:qFormat/>
    <w:rPr>
      <w:rFonts w:ascii="Symbol" w:hAnsi="Symbol" w:cs="Symbol"/>
    </w:rPr>
  </w:style>
  <w:style w:type="character" w:styleId="WW8Num2z0">
    <w:name w:val="WW8Num2z0"/>
    <w:qFormat/>
    <w:rPr>
      <w:rFonts w:ascii="Verdana" w:hAnsi="Verdana" w:cs="Verdana"/>
      <w:b w:val="false"/>
      <w:i w:val="false"/>
      <w:color w:val="000000"/>
      <w:sz w:val="22"/>
      <w:szCs w:val="22"/>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WW8Num5z1">
    <w:name w:val="WW8Num5z1"/>
    <w:qFormat/>
    <w:rPr>
      <w:rFonts w:ascii="Courier New" w:hAnsi="Courier New" w:cs="Courier New"/>
    </w:rPr>
  </w:style>
  <w:style w:type="character" w:styleId="WW8Num4z1">
    <w:name w:val="WW8Num4z1"/>
    <w:qFormat/>
    <w:rPr>
      <w:rFonts w:ascii="Courier New" w:hAnsi="Courier New" w:cs="Courier New"/>
    </w:rPr>
  </w:style>
  <w:style w:type="character" w:styleId="WW8Num2z1">
    <w:name w:val="WW8Num2z1"/>
    <w:qFormat/>
    <w:rPr>
      <w:rFonts w:ascii="OpenSymbol" w:hAnsi="OpenSymbol" w:cs="OpenSymbol"/>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ubtitle">
    <w:name w:val="Subtitle"/>
    <w:basedOn w:val="Normal"/>
    <w:next w:val="BodyText"/>
    <w:qFormat/>
    <w:pPr/>
    <w:rPr>
      <w:szCs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641</TotalTime>
  <Application>LibreOffice/26.2.3.2$Windows_X86_64 LibreOffice_project/70e089b17412e4cb7773e41413306b17a2328c34</Application>
  <AppVersion>15.0000</AppVersion>
  <Pages>4</Pages>
  <Words>1400</Words>
  <Characters>8011</Characters>
  <CharactersWithSpaces>9337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description/>
  <dc:language>en-GB</dc:language>
  <cp:lastModifiedBy/>
  <dcterms:modified xsi:type="dcterms:W3CDTF">2026-06-13T14:50:02Z</dcterms:modified>
  <cp:revision>67</cp:revision>
  <dc:subject/>
  <dc:title>Children and Vulnerable Adults Policy</dc:title>
</cp:coreProperties>
</file>

<file path=docProps/custom.xml><?xml version="1.0" encoding="utf-8"?>
<Properties xmlns="http://schemas.openxmlformats.org/officeDocument/2006/custom-properties" xmlns:vt="http://schemas.openxmlformats.org/officeDocument/2006/docPropsVTypes"/>
</file>