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220" w:type="dxa"/>
        <w:jc w:val="left"/>
        <w:tblInd w:w="763" w:type="dxa"/>
        <w:tblLayout w:type="fixed"/>
        <w:tblCellMar>
          <w:top w:w="0" w:type="dxa"/>
          <w:left w:w="108" w:type="dxa"/>
          <w:bottom w:w="0" w:type="dxa"/>
          <w:right w:w="108" w:type="dxa"/>
        </w:tblCellMar>
      </w:tblPr>
      <w:tblGrid>
        <w:gridCol w:w="8220"/>
      </w:tblGrid>
      <w:tr>
        <w:trPr>
          <w:trHeight w:val="1470" w:hRule="atLeast"/>
        </w:trPr>
        <w:tc>
          <w:tcPr>
            <w:tcW w:w="822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before="240" w:after="0"/>
              <w:jc w:val="center"/>
              <w:textAlignment w:val="baseline"/>
              <w:rPr>
                <w:rFonts w:ascii="Arial" w:hAnsi="Arial"/>
              </w:rPr>
            </w:pPr>
            <w:r>
              <w:rPr>
                <w:rFonts w:eastAsia="Times New Roman" w:cs="Arial" w:ascii="Arial" w:hAnsi="Arial"/>
                <w:b/>
                <w:bCs/>
                <w:sz w:val="28"/>
                <w:szCs w:val="28"/>
                <w:lang w:eastAsia="en-GB"/>
              </w:rPr>
              <w:t>Framwellgate Moor Youth &amp; Community Association</w:t>
            </w:r>
          </w:p>
          <w:p>
            <w:pPr>
              <w:pStyle w:val="Normal"/>
              <w:widowControl w:val="false"/>
              <w:overflowPunct w:val="true"/>
              <w:spacing w:before="57" w:after="57"/>
              <w:jc w:val="center"/>
              <w:textAlignment w:val="baseline"/>
              <w:rPr>
                <w:rFonts w:ascii="Arial" w:hAnsi="Arial"/>
              </w:rPr>
            </w:pPr>
            <w:r>
              <w:rPr>
                <w:rFonts w:eastAsia="Times New Roman" w:cs="Arial" w:ascii="Arial" w:hAnsi="Arial"/>
                <w:b w:val="false"/>
                <w:bCs w:val="false"/>
                <w:sz w:val="22"/>
                <w:szCs w:val="22"/>
                <w:lang w:eastAsia="en-GB"/>
              </w:rPr>
              <w:t>Registered Charity No 1154450</w:t>
            </w:r>
          </w:p>
          <w:p>
            <w:pPr>
              <w:pStyle w:val="Normal"/>
              <w:widowControl w:val="false"/>
              <w:overflowPunct w:val="true"/>
              <w:jc w:val="center"/>
              <w:textAlignment w:val="baseline"/>
              <w:rPr>
                <w:rFonts w:ascii="Arial" w:hAnsi="Arial"/>
              </w:rPr>
            </w:pPr>
            <w:r>
              <w:rPr>
                <w:rFonts w:eastAsia="Times New Roman" w:cs="Arial" w:ascii="Arial" w:hAnsi="Arial"/>
                <w:b/>
                <w:sz w:val="28"/>
                <w:szCs w:val="28"/>
                <w:lang w:eastAsia="en-GB"/>
              </w:rPr>
              <w:t>Manual Handling Policy -  Initiated January 2020</w:t>
            </w:r>
          </w:p>
        </w:tc>
      </w:tr>
    </w:tbl>
    <w:p>
      <w:pPr>
        <w:pStyle w:val="Normal"/>
        <w:jc w:val="center"/>
        <w:rPr>
          <w:rFonts w:ascii="Arial" w:hAnsi="Arial" w:cs="Arial"/>
          <w:b w:val="false"/>
          <w:bCs w:val="false"/>
        </w:rPr>
      </w:pPr>
      <w:r>
        <w:rPr>
          <w:rFonts w:cs="Arial" w:ascii="Arial" w:hAnsi="Arial"/>
          <w:b w:val="false"/>
          <w:bCs w:val="false"/>
        </w:rPr>
      </w:r>
    </w:p>
    <w:p>
      <w:pPr>
        <w:pStyle w:val="Normal"/>
        <w:widowControl/>
        <w:suppressAutoHyphens w:val="true"/>
        <w:bidi w:val="0"/>
        <w:spacing w:before="114" w:after="114"/>
        <w:ind w:hanging="0" w:left="0" w:right="-283"/>
        <w:jc w:val="left"/>
        <w:rPr>
          <w:rFonts w:ascii="Arial" w:hAnsi="Arial" w:cs="Arial"/>
          <w:b w:val="false"/>
          <w:bCs w:val="false"/>
          <w:sz w:val="22"/>
          <w:szCs w:val="22"/>
          <w:lang w:bidi="en-GB"/>
        </w:rPr>
      </w:pPr>
      <w:r>
        <w:rPr>
          <w:rFonts w:cs="Arial" w:ascii="Arial" w:hAnsi="Arial"/>
          <w:b w:val="false"/>
          <w:bCs w:val="false"/>
          <w:sz w:val="22"/>
          <w:szCs w:val="22"/>
          <w:lang w:bidi="en-GB"/>
        </w:rPr>
        <w:t>This is the Manual Handling Policy of Framwellgate Moor Youth &amp; Community Association (FMYCA)</w:t>
      </w:r>
    </w:p>
    <w:p>
      <w:pPr>
        <w:pStyle w:val="ListParagraph"/>
        <w:jc w:val="both"/>
        <w:rPr>
          <w:rFonts w:ascii="Arial" w:hAnsi="Arial" w:cs="Arial"/>
          <w:b w:val="false"/>
          <w:bCs w:val="false"/>
          <w:lang w:bidi="en-GB"/>
        </w:rPr>
      </w:pPr>
      <w:r>
        <w:rPr>
          <w:rFonts w:cs="Arial" w:ascii="Arial" w:hAnsi="Arial"/>
          <w:b w:val="false"/>
          <w:bCs w:val="false"/>
          <w:lang w:bidi="en-GB"/>
        </w:rPr>
      </w:r>
    </w:p>
    <w:p>
      <w:pPr>
        <w:pStyle w:val="ListParagraph"/>
        <w:numPr>
          <w:ilvl w:val="0"/>
          <w:numId w:val="4"/>
        </w:numPr>
        <w:spacing w:before="0" w:after="240"/>
        <w:ind w:hanging="709" w:left="709"/>
        <w:contextualSpacing/>
        <w:jc w:val="both"/>
        <w:rPr>
          <w:rFonts w:ascii="Arial" w:hAnsi="Arial"/>
        </w:rPr>
      </w:pPr>
      <w:r>
        <w:rPr>
          <w:rFonts w:cs="Arial" w:ascii="Arial" w:hAnsi="Arial"/>
          <w:b/>
          <w:bCs/>
          <w:lang w:bidi="en-GB"/>
        </w:rPr>
        <w:t>Introduction and Scope</w:t>
      </w:r>
    </w:p>
    <w:p>
      <w:pPr>
        <w:pStyle w:val="Normal"/>
        <w:ind w:hanging="0" w:left="709"/>
        <w:jc w:val="both"/>
        <w:rPr>
          <w:rFonts w:ascii="Arial" w:hAnsi="Arial"/>
        </w:rPr>
      </w:pPr>
      <w:r>
        <w:rPr>
          <w:rFonts w:cs="Arial" w:ascii="Arial" w:hAnsi="Arial"/>
          <w:lang w:bidi="en-GB"/>
        </w:rPr>
        <w:t xml:space="preserve">Poor Manual Handling/Moving and Handling is one of the most common causes of absence from work, with </w:t>
      </w:r>
      <w:r>
        <w:rPr>
          <w:rFonts w:cs="Arial" w:ascii="Arial" w:hAnsi="Arial"/>
          <w:bCs/>
          <w:lang w:bidi="en-GB"/>
        </w:rPr>
        <w:t>over a third of all workplace injuries being attributed to manual handling. These injuries include pain and injuries to the back and shoulders, arms, legs and other joints, as well as repetitive strain injuries of various sorts. Many of the injuries can have long lasting effects which can adversely affect a person’s quality of life.</w:t>
      </w:r>
    </w:p>
    <w:p>
      <w:pPr>
        <w:pStyle w:val="Normal"/>
        <w:ind w:hanging="0" w:left="709"/>
        <w:jc w:val="both"/>
        <w:rPr>
          <w:rFonts w:ascii="Arial" w:hAnsi="Arial" w:cs="Arial"/>
          <w:lang w:bidi="en-GB"/>
        </w:rPr>
      </w:pPr>
      <w:r>
        <w:rPr>
          <w:rFonts w:cs="Arial" w:ascii="Arial" w:hAnsi="Arial"/>
          <w:lang w:bidi="en-GB"/>
        </w:rPr>
      </w:r>
    </w:p>
    <w:p>
      <w:pPr>
        <w:pStyle w:val="Normal"/>
        <w:jc w:val="both"/>
        <w:rPr>
          <w:rFonts w:ascii="Arial" w:hAnsi="Arial" w:cs="Arial"/>
          <w:lang w:bidi="en-GB"/>
        </w:rPr>
      </w:pPr>
      <w:r>
        <w:rPr>
          <w:rFonts w:cs="Arial" w:ascii="Arial" w:hAnsi="Arial"/>
          <w:lang w:bidi="en-GB"/>
        </w:rPr>
      </w:r>
    </w:p>
    <w:p>
      <w:pPr>
        <w:pStyle w:val="ListParagraph"/>
        <w:numPr>
          <w:ilvl w:val="0"/>
          <w:numId w:val="4"/>
        </w:numPr>
        <w:spacing w:before="0" w:after="240"/>
        <w:ind w:hanging="709" w:left="709"/>
        <w:contextualSpacing/>
        <w:jc w:val="both"/>
        <w:rPr>
          <w:rFonts w:ascii="Arial" w:hAnsi="Arial"/>
        </w:rPr>
      </w:pPr>
      <w:r>
        <w:rPr>
          <w:rFonts w:cs="Arial" w:ascii="Arial" w:hAnsi="Arial"/>
          <w:b/>
          <w:lang w:bidi="en-GB"/>
        </w:rPr>
        <w:t>Aims of the Policy</w:t>
      </w:r>
    </w:p>
    <w:p>
      <w:pPr>
        <w:pStyle w:val="Normal"/>
        <w:ind w:hanging="0" w:left="709"/>
        <w:jc w:val="both"/>
        <w:rPr>
          <w:rFonts w:ascii="Arial" w:hAnsi="Arial"/>
        </w:rPr>
      </w:pPr>
      <w:r>
        <w:rPr>
          <w:rFonts w:cs="Arial" w:ascii="Arial" w:hAnsi="Arial"/>
          <w:lang w:bidi="en-GB"/>
        </w:rPr>
        <w:t>This Policy is intended to help reduce the risks involved in manual handling, and therefore to prevent injuries. It is intended to promote good practice in all lifting, handling and carrying operations.</w:t>
      </w:r>
    </w:p>
    <w:p>
      <w:pPr>
        <w:pStyle w:val="Normal"/>
        <w:jc w:val="both"/>
        <w:rPr>
          <w:rFonts w:ascii="Arial" w:hAnsi="Arial" w:cs="Arial"/>
          <w:b/>
          <w:lang w:bidi="en-GB"/>
        </w:rPr>
      </w:pPr>
      <w:r>
        <w:rPr>
          <w:rFonts w:cs="Arial" w:ascii="Arial" w:hAnsi="Arial"/>
          <w:b/>
          <w:lang w:bidi="en-GB"/>
        </w:rPr>
      </w:r>
    </w:p>
    <w:p>
      <w:pPr>
        <w:pStyle w:val="Normal"/>
        <w:jc w:val="both"/>
        <w:rPr>
          <w:rFonts w:ascii="Arial" w:hAnsi="Arial" w:cs="Arial"/>
          <w:b/>
          <w:lang w:bidi="en-GB"/>
        </w:rPr>
      </w:pPr>
      <w:r>
        <w:rPr>
          <w:rFonts w:cs="Arial" w:ascii="Arial" w:hAnsi="Arial"/>
          <w:b/>
          <w:lang w:bidi="en-GB"/>
        </w:rPr>
      </w:r>
    </w:p>
    <w:p>
      <w:pPr>
        <w:pStyle w:val="ListParagraph"/>
        <w:numPr>
          <w:ilvl w:val="0"/>
          <w:numId w:val="4"/>
        </w:numPr>
        <w:ind w:hanging="709" w:left="709"/>
        <w:jc w:val="both"/>
        <w:rPr>
          <w:rFonts w:ascii="Arial" w:hAnsi="Arial"/>
        </w:rPr>
      </w:pPr>
      <w:r>
        <w:rPr>
          <w:rFonts w:cs="Arial" w:ascii="Arial" w:hAnsi="Arial"/>
          <w:b/>
          <w:bCs/>
          <w:lang w:bidi="en-GB"/>
        </w:rPr>
        <w:t>Definitions</w:t>
      </w:r>
    </w:p>
    <w:p>
      <w:pPr>
        <w:pStyle w:val="ListParagraph"/>
        <w:ind w:hanging="0" w:left="1080"/>
        <w:jc w:val="both"/>
        <w:rPr>
          <w:rFonts w:ascii="Arial" w:hAnsi="Arial" w:cs="Arial"/>
          <w:b/>
          <w:bCs/>
          <w:lang w:bidi="en-GB"/>
        </w:rPr>
      </w:pPr>
      <w:r>
        <w:rPr>
          <w:rFonts w:cs="Arial" w:ascii="Arial" w:hAnsi="Arial"/>
          <w:b/>
          <w:bCs/>
          <w:lang w:bidi="en-GB"/>
        </w:rPr>
      </w:r>
    </w:p>
    <w:p>
      <w:pPr>
        <w:pStyle w:val="Normal"/>
        <w:ind w:hanging="0" w:left="709"/>
        <w:jc w:val="both"/>
        <w:rPr>
          <w:rFonts w:ascii="Arial" w:hAnsi="Arial"/>
        </w:rPr>
      </w:pPr>
      <w:r>
        <w:rPr>
          <w:rFonts w:cs="Arial" w:ascii="Arial" w:hAnsi="Arial"/>
          <w:lang w:bidi="en-GB"/>
        </w:rPr>
        <w:t>From the Manual Handling Operations Regulations 1992 (as amended):</w:t>
      </w:r>
    </w:p>
    <w:p>
      <w:pPr>
        <w:pStyle w:val="Normal"/>
        <w:ind w:hanging="0" w:left="993"/>
        <w:jc w:val="both"/>
        <w:rPr>
          <w:rFonts w:ascii="Arial" w:hAnsi="Arial" w:cs="Arial"/>
          <w:lang w:bidi="en-GB"/>
        </w:rPr>
      </w:pPr>
      <w:r>
        <w:rPr>
          <w:rFonts w:cs="Arial" w:ascii="Arial" w:hAnsi="Arial"/>
          <w:lang w:bidi="en-GB"/>
        </w:rPr>
      </w:r>
    </w:p>
    <w:p>
      <w:pPr>
        <w:pStyle w:val="ListParagraph"/>
        <w:numPr>
          <w:ilvl w:val="0"/>
          <w:numId w:val="2"/>
        </w:numPr>
        <w:ind w:hanging="709" w:left="1418"/>
        <w:jc w:val="both"/>
        <w:rPr>
          <w:rFonts w:ascii="Arial" w:hAnsi="Arial"/>
        </w:rPr>
      </w:pPr>
      <w:r>
        <w:rPr>
          <w:rFonts w:cs="Arial" w:ascii="Arial" w:hAnsi="Arial"/>
          <w:lang w:bidi="en-GB"/>
        </w:rPr>
        <w:t>Manual Handling – the transporting or supporting of inanimate load, (including the lifting, putting down, pushing, pulling, holding, carrying, and moving) by hand or bodily force.</w:t>
      </w:r>
    </w:p>
    <w:p>
      <w:pPr>
        <w:pStyle w:val="Normal"/>
        <w:ind w:hanging="709" w:left="1418"/>
        <w:jc w:val="both"/>
        <w:rPr>
          <w:rFonts w:ascii="Arial" w:hAnsi="Arial" w:cs="Arial"/>
          <w:lang w:bidi="en-GB"/>
        </w:rPr>
      </w:pPr>
      <w:r>
        <w:rPr>
          <w:rFonts w:cs="Arial" w:ascii="Arial" w:hAnsi="Arial"/>
          <w:lang w:bidi="en-GB"/>
        </w:rPr>
      </w:r>
    </w:p>
    <w:p>
      <w:pPr>
        <w:pStyle w:val="ListParagraph"/>
        <w:numPr>
          <w:ilvl w:val="0"/>
          <w:numId w:val="2"/>
        </w:numPr>
        <w:ind w:hanging="709" w:left="1418"/>
        <w:jc w:val="both"/>
        <w:rPr>
          <w:rFonts w:ascii="Arial" w:hAnsi="Arial"/>
        </w:rPr>
      </w:pPr>
      <w:r>
        <w:rPr>
          <w:rFonts w:cs="Arial" w:ascii="Arial" w:hAnsi="Arial"/>
          <w:lang w:bidi="en-GB"/>
        </w:rPr>
        <w:t>Injury – Injury to any part of the body caused by manual handling, injuries include; strained muscles, over-stretched or torn ligaments, trapped, compressed or impinged nerves and disc damage (e.g. prolapsed disc).</w:t>
      </w:r>
    </w:p>
    <w:p>
      <w:pPr>
        <w:pStyle w:val="Normal"/>
        <w:ind w:hanging="709" w:left="1418"/>
        <w:jc w:val="both"/>
        <w:rPr>
          <w:rFonts w:ascii="Arial" w:hAnsi="Arial" w:cs="Arial"/>
          <w:lang w:bidi="en-GB"/>
        </w:rPr>
      </w:pPr>
      <w:r>
        <w:rPr>
          <w:rFonts w:cs="Arial" w:ascii="Arial" w:hAnsi="Arial"/>
          <w:lang w:bidi="en-GB"/>
        </w:rPr>
      </w:r>
    </w:p>
    <w:p>
      <w:pPr>
        <w:pStyle w:val="ListParagraph"/>
        <w:numPr>
          <w:ilvl w:val="0"/>
          <w:numId w:val="2"/>
        </w:numPr>
        <w:ind w:hanging="709" w:left="1418"/>
        <w:jc w:val="both"/>
        <w:rPr>
          <w:rFonts w:ascii="Arial" w:hAnsi="Arial"/>
        </w:rPr>
      </w:pPr>
      <w:r>
        <w:rPr>
          <w:rFonts w:cs="Arial" w:ascii="Arial" w:hAnsi="Arial"/>
          <w:lang w:bidi="en-GB"/>
        </w:rPr>
        <w:t>Load – A load is a moveable object. This includes not only packages, boxes, tools etc. but also a person or animal.</w:t>
      </w:r>
    </w:p>
    <w:p>
      <w:pPr>
        <w:pStyle w:val="Normal"/>
        <w:jc w:val="both"/>
        <w:rPr>
          <w:rFonts w:ascii="Arial" w:hAnsi="Arial" w:cs="Arial"/>
          <w:b/>
          <w:lang w:bidi="en-GB"/>
        </w:rPr>
      </w:pPr>
      <w:r>
        <w:rPr>
          <w:rFonts w:cs="Arial" w:ascii="Arial" w:hAnsi="Arial"/>
          <w:b/>
          <w:lang w:bidi="en-GB"/>
        </w:rPr>
      </w:r>
    </w:p>
    <w:p>
      <w:pPr>
        <w:pStyle w:val="Normal"/>
        <w:jc w:val="both"/>
        <w:rPr>
          <w:rFonts w:ascii="Arial" w:hAnsi="Arial" w:cs="Arial"/>
          <w:b/>
          <w:lang w:bidi="en-GB"/>
        </w:rPr>
      </w:pPr>
      <w:r>
        <w:rPr>
          <w:rFonts w:cs="Arial" w:ascii="Arial" w:hAnsi="Arial"/>
          <w:b/>
          <w:lang w:bidi="en-GB"/>
        </w:rPr>
      </w:r>
    </w:p>
    <w:p>
      <w:pPr>
        <w:pStyle w:val="ListParagraph"/>
        <w:numPr>
          <w:ilvl w:val="0"/>
          <w:numId w:val="4"/>
        </w:numPr>
        <w:ind w:hanging="1080" w:left="1080"/>
        <w:jc w:val="both"/>
        <w:rPr>
          <w:rFonts w:ascii="Arial" w:hAnsi="Arial"/>
        </w:rPr>
      </w:pPr>
      <w:r>
        <w:rPr>
          <w:rFonts w:cs="Arial" w:ascii="Arial" w:hAnsi="Arial"/>
          <w:b/>
          <w:lang w:bidi="en-GB"/>
        </w:rPr>
        <w:t xml:space="preserve">Policy Statement </w:t>
      </w:r>
      <w:r>
        <w:rPr>
          <w:rFonts w:cs="Arial" w:ascii="Arial" w:hAnsi="Arial"/>
          <w:lang w:bidi="en-GB"/>
        </w:rPr>
        <w:t xml:space="preserve">FMYCA will comply with the Manual Handling Operations Regulations 1992 (as amended), which require the </w:t>
      </w:r>
      <w:r>
        <w:rPr>
          <w:rFonts w:eastAsia="Calibri" w:cs="Arial" w:ascii="Arial" w:hAnsi="Arial"/>
          <w:color w:val="auto"/>
          <w:kern w:val="0"/>
          <w:sz w:val="22"/>
          <w:szCs w:val="22"/>
          <w:lang w:val="en-GB" w:eastAsia="zh-CN" w:bidi="en-GB"/>
        </w:rPr>
        <w:t>Association</w:t>
      </w:r>
      <w:r>
        <w:rPr>
          <w:rFonts w:cs="Arial" w:ascii="Arial" w:hAnsi="Arial"/>
          <w:lang w:bidi="en-GB"/>
        </w:rPr>
        <w:t xml:space="preserve"> to work to reduce the hazards to health associated with the manual handling of loads.</w:t>
      </w:r>
    </w:p>
    <w:p>
      <w:pPr>
        <w:pStyle w:val="Normal"/>
        <w:ind w:hanging="709" w:left="1418"/>
        <w:jc w:val="both"/>
        <w:rPr>
          <w:rFonts w:ascii="Arial" w:hAnsi="Arial" w:cs="Arial"/>
          <w:b/>
          <w:lang w:bidi="en-GB"/>
        </w:rPr>
      </w:pPr>
      <w:r>
        <w:rPr>
          <w:rFonts w:cs="Arial" w:ascii="Arial" w:hAnsi="Arial"/>
          <w:b/>
          <w:lang w:bidi="en-GB"/>
        </w:rPr>
      </w:r>
    </w:p>
    <w:p>
      <w:pPr>
        <w:pStyle w:val="Normal"/>
        <w:numPr>
          <w:ilvl w:val="0"/>
          <w:numId w:val="3"/>
        </w:numPr>
        <w:ind w:hanging="709" w:left="1418"/>
        <w:jc w:val="both"/>
        <w:rPr>
          <w:rFonts w:ascii="Arial" w:hAnsi="Arial"/>
        </w:rPr>
      </w:pPr>
      <w:r>
        <w:rPr>
          <w:rFonts w:cs="Arial" w:ascii="Arial" w:hAnsi="Arial"/>
          <w:lang w:bidi="en-GB"/>
        </w:rPr>
        <w:t>The Association will so far as reasonably practicable:</w:t>
      </w:r>
    </w:p>
    <w:p>
      <w:pPr>
        <w:pStyle w:val="Normal"/>
        <w:jc w:val="both"/>
        <w:rPr>
          <w:rFonts w:ascii="Arial" w:hAnsi="Arial" w:cs="Arial"/>
          <w:lang w:bidi="en-GB"/>
        </w:rPr>
      </w:pPr>
      <w:r>
        <w:rPr>
          <w:rFonts w:cs="Arial" w:ascii="Arial" w:hAnsi="Arial"/>
          <w:lang w:bidi="en-GB"/>
        </w:rPr>
      </w:r>
    </w:p>
    <w:p>
      <w:pPr>
        <w:pStyle w:val="Normal"/>
        <w:numPr>
          <w:ilvl w:val="1"/>
          <w:numId w:val="1"/>
        </w:numPr>
        <w:ind w:hanging="709" w:left="2127"/>
        <w:jc w:val="both"/>
        <w:rPr>
          <w:rFonts w:ascii="Arial" w:hAnsi="Arial"/>
        </w:rPr>
      </w:pPr>
      <w:r>
        <w:rPr>
          <w:rFonts w:cs="Arial" w:ascii="Arial" w:hAnsi="Arial"/>
          <w:lang w:bidi="en-GB"/>
        </w:rPr>
        <w:t>Avoid manual handling operations;</w:t>
      </w:r>
    </w:p>
    <w:p>
      <w:pPr>
        <w:pStyle w:val="Normal"/>
        <w:numPr>
          <w:ilvl w:val="1"/>
          <w:numId w:val="1"/>
        </w:numPr>
        <w:ind w:hanging="709" w:left="2127"/>
        <w:jc w:val="both"/>
        <w:rPr>
          <w:rFonts w:ascii="Arial" w:hAnsi="Arial"/>
        </w:rPr>
      </w:pPr>
      <w:r>
        <w:rPr>
          <w:rFonts w:cs="Arial" w:ascii="Arial" w:hAnsi="Arial"/>
          <w:lang w:bidi="en-GB"/>
        </w:rPr>
        <w:t>Assess the risks associated with manual handling activities;</w:t>
      </w:r>
    </w:p>
    <w:p>
      <w:pPr>
        <w:pStyle w:val="Normal"/>
        <w:numPr>
          <w:ilvl w:val="1"/>
          <w:numId w:val="1"/>
        </w:numPr>
        <w:ind w:hanging="709" w:left="2127"/>
        <w:jc w:val="both"/>
        <w:rPr>
          <w:rFonts w:ascii="Arial" w:hAnsi="Arial"/>
        </w:rPr>
      </w:pPr>
      <w:r>
        <w:rPr>
          <w:rFonts w:cs="Arial" w:ascii="Arial" w:hAnsi="Arial"/>
          <w:lang w:bidi="en-GB"/>
        </w:rPr>
        <w:t>Provide measures to eliminate the risks or reduce them.</w:t>
      </w:r>
    </w:p>
    <w:p>
      <w:pPr>
        <w:pStyle w:val="Normal"/>
        <w:ind w:hanging="709" w:left="1418"/>
        <w:jc w:val="both"/>
        <w:rPr>
          <w:rFonts w:ascii="Arial" w:hAnsi="Arial" w:cs="Arial"/>
          <w:lang w:bidi="en-GB"/>
        </w:rPr>
      </w:pPr>
      <w:r>
        <w:rPr>
          <w:rFonts w:cs="Arial" w:ascii="Arial" w:hAnsi="Arial"/>
          <w:lang w:bidi="en-GB"/>
        </w:rPr>
      </w:r>
    </w:p>
    <w:p>
      <w:pPr>
        <w:pStyle w:val="Normal"/>
        <w:numPr>
          <w:ilvl w:val="0"/>
          <w:numId w:val="3"/>
        </w:numPr>
        <w:ind w:hanging="709" w:left="1418"/>
        <w:jc w:val="both"/>
        <w:rPr>
          <w:rFonts w:ascii="Arial" w:hAnsi="Arial"/>
        </w:rPr>
      </w:pPr>
      <w:r>
        <w:rPr>
          <w:rFonts w:cs="Arial" w:ascii="Arial" w:hAnsi="Arial"/>
          <w:lang w:bidi="en-GB"/>
        </w:rPr>
        <w:t xml:space="preserve">Where handling large or bulky items, or where repetition cannot be avoided, a specific risk assessment will be carried out. The assessment will be based on TILE -Task, Individual, Load, Environment.  </w:t>
      </w:r>
    </w:p>
    <w:p>
      <w:pPr>
        <w:pStyle w:val="Normal"/>
        <w:ind w:hanging="709" w:left="1418"/>
        <w:jc w:val="both"/>
        <w:rPr>
          <w:rFonts w:ascii="Arial" w:hAnsi="Arial" w:cs="Arial"/>
          <w:lang w:bidi="en-GB"/>
        </w:rPr>
      </w:pPr>
      <w:r>
        <w:rPr>
          <w:rFonts w:cs="Arial" w:ascii="Arial" w:hAnsi="Arial"/>
          <w:lang w:bidi="en-GB"/>
        </w:rPr>
      </w:r>
    </w:p>
    <w:p>
      <w:pPr>
        <w:pStyle w:val="Normal"/>
        <w:numPr>
          <w:ilvl w:val="0"/>
          <w:numId w:val="3"/>
        </w:numPr>
        <w:ind w:hanging="709" w:left="1418"/>
        <w:jc w:val="both"/>
        <w:rPr>
          <w:rFonts w:ascii="Arial" w:hAnsi="Arial"/>
        </w:rPr>
      </w:pPr>
      <w:r>
        <w:rPr>
          <w:rFonts w:cs="Arial" w:ascii="Arial" w:hAnsi="Arial"/>
          <w:lang w:bidi="en-GB"/>
        </w:rPr>
        <w:t>Where required by the risk assessment, the</w:t>
      </w:r>
      <w:r>
        <w:rPr>
          <w:rFonts w:cs="Arial" w:ascii="Arial" w:hAnsi="Arial"/>
          <w:color w:val="000000"/>
          <w:lang w:bidi="en-GB"/>
        </w:rPr>
        <w:t xml:space="preserve"> Association will provide appropriate tools or equipment (e.g. sack barrows and trolleys etc.) to help reduce the risk of injury.</w:t>
      </w:r>
    </w:p>
    <w:p>
      <w:pPr>
        <w:pStyle w:val="ListParagraph"/>
        <w:rPr>
          <w:rFonts w:ascii="Arial" w:hAnsi="Arial" w:cs="Arial"/>
          <w:color w:val="000000"/>
          <w:lang w:bidi="en-GB"/>
        </w:rPr>
      </w:pPr>
      <w:r>
        <w:rPr>
          <w:rFonts w:cs="Arial" w:ascii="Arial" w:hAnsi="Arial"/>
          <w:color w:val="000000"/>
          <w:lang w:bidi="en-GB"/>
        </w:rPr>
      </w:r>
    </w:p>
    <w:p>
      <w:pPr>
        <w:pStyle w:val="Normal"/>
        <w:numPr>
          <w:ilvl w:val="0"/>
          <w:numId w:val="3"/>
        </w:numPr>
        <w:ind w:hanging="709" w:left="1418"/>
        <w:jc w:val="both"/>
        <w:rPr>
          <w:rFonts w:ascii="Arial" w:hAnsi="Arial"/>
        </w:rPr>
      </w:pPr>
      <w:r>
        <w:rPr>
          <w:rFonts w:cs="Arial" w:ascii="Arial" w:hAnsi="Arial"/>
          <w:color w:val="000000"/>
          <w:lang w:bidi="en-GB"/>
        </w:rPr>
        <w:t>All equipment supplied by the Association will be su</w:t>
      </w:r>
      <w:r>
        <w:rPr>
          <w:rFonts w:cs="Arial" w:ascii="Arial" w:hAnsi="Arial"/>
          <w:lang w:bidi="en-GB"/>
        </w:rPr>
        <w:t>itable for the task and will meet the requirements of Provision and Use of Work Equipment Regulations 1998 (PUWER) and where appropriate, Lifting Operations &amp; Lifting Equipment Regulations 1998 (LOLER). Where needed the Association will ensure proper training is provided.</w:t>
      </w:r>
    </w:p>
    <w:p>
      <w:pPr>
        <w:pStyle w:val="Normal"/>
        <w:ind w:hanging="709" w:left="1418"/>
        <w:jc w:val="both"/>
        <w:rPr>
          <w:rFonts w:ascii="Arial" w:hAnsi="Arial" w:cs="Arial"/>
          <w:lang w:bidi="en-GB"/>
        </w:rPr>
      </w:pPr>
      <w:r>
        <w:rPr>
          <w:rFonts w:cs="Arial" w:ascii="Arial" w:hAnsi="Arial"/>
          <w:lang w:bidi="en-GB"/>
        </w:rPr>
      </w:r>
    </w:p>
    <w:p>
      <w:pPr>
        <w:pStyle w:val="Normal"/>
        <w:numPr>
          <w:ilvl w:val="0"/>
          <w:numId w:val="3"/>
        </w:numPr>
        <w:ind w:hanging="709" w:left="1418"/>
        <w:jc w:val="both"/>
        <w:rPr>
          <w:rFonts w:ascii="Arial" w:hAnsi="Arial"/>
        </w:rPr>
      </w:pPr>
      <w:r>
        <w:rPr>
          <w:rFonts w:cs="Arial" w:ascii="Arial" w:hAnsi="Arial"/>
          <w:lang w:bidi="en-GB"/>
        </w:rPr>
        <w:t>All lifting equipment will be maintained as per PUWER and LOLER requirements by competent personnel.</w:t>
      </w:r>
    </w:p>
    <w:p>
      <w:pPr>
        <w:pStyle w:val="Normal"/>
        <w:ind w:hanging="709" w:left="1418"/>
        <w:jc w:val="both"/>
        <w:rPr>
          <w:rFonts w:ascii="Arial" w:hAnsi="Arial" w:cs="Arial"/>
          <w:lang w:bidi="en-GB"/>
        </w:rPr>
      </w:pPr>
      <w:r>
        <w:rPr>
          <w:rFonts w:cs="Arial" w:ascii="Arial" w:hAnsi="Arial"/>
          <w:lang w:bidi="en-GB"/>
        </w:rPr>
      </w:r>
    </w:p>
    <w:p>
      <w:pPr>
        <w:pStyle w:val="Normal"/>
        <w:numPr>
          <w:ilvl w:val="0"/>
          <w:numId w:val="3"/>
        </w:numPr>
        <w:ind w:hanging="709" w:left="1418"/>
        <w:jc w:val="both"/>
        <w:rPr>
          <w:rFonts w:ascii="Arial" w:hAnsi="Arial"/>
        </w:rPr>
      </w:pPr>
      <w:r>
        <w:rPr>
          <w:rFonts w:cs="Arial" w:ascii="Arial" w:hAnsi="Arial"/>
          <w:lang w:bidi="en-GB"/>
        </w:rPr>
        <w:t xml:space="preserve">Workplaces will be designed to be as ergonomic as possible, considering the work to be done. </w:t>
      </w:r>
    </w:p>
    <w:p>
      <w:pPr>
        <w:pStyle w:val="Normal"/>
        <w:ind w:hanging="709" w:left="1418"/>
        <w:jc w:val="both"/>
        <w:rPr>
          <w:rFonts w:ascii="Arial" w:hAnsi="Arial" w:cs="Arial"/>
          <w:lang w:bidi="en-GB"/>
        </w:rPr>
      </w:pPr>
      <w:r>
        <w:rPr>
          <w:rFonts w:cs="Arial" w:ascii="Arial" w:hAnsi="Arial"/>
          <w:lang w:bidi="en-GB"/>
        </w:rPr>
      </w:r>
    </w:p>
    <w:p>
      <w:pPr>
        <w:pStyle w:val="Normal"/>
        <w:numPr>
          <w:ilvl w:val="0"/>
          <w:numId w:val="3"/>
        </w:numPr>
        <w:ind w:hanging="709" w:left="1418"/>
        <w:jc w:val="both"/>
        <w:rPr>
          <w:rFonts w:ascii="Arial" w:hAnsi="Arial"/>
        </w:rPr>
      </w:pPr>
      <w:r>
        <w:rPr>
          <w:rFonts w:cs="Arial" w:ascii="Arial" w:hAnsi="Arial"/>
          <w:lang w:bidi="en-GB"/>
        </w:rPr>
        <w:t>The Association will ensure all staff attend Manual Handling training sessions with refreshers as needed. The training will equip attendees with the skills to assess manual handling operations using the HSE Manual Handling Assessment Chart tool, raising awareness of manual handling hazards, risks and controls, whilst installing basic knowledge of anatomy, mechanics of movement and causes of manual handling injuries, and guiding participants on how to carry out a suitable and sufficient manual handling risk assessment.</w:t>
      </w:r>
    </w:p>
    <w:p>
      <w:pPr>
        <w:pStyle w:val="Normal"/>
        <w:jc w:val="both"/>
        <w:rPr>
          <w:rFonts w:ascii="Arial" w:hAnsi="Arial" w:cs="Arial"/>
          <w:lang w:bidi="en-GB"/>
        </w:rPr>
      </w:pPr>
      <w:r>
        <w:rPr>
          <w:rFonts w:cs="Arial" w:ascii="Arial" w:hAnsi="Arial"/>
          <w:lang w:bidi="en-GB"/>
        </w:rPr>
      </w:r>
    </w:p>
    <w:p>
      <w:pPr>
        <w:pStyle w:val="Normal"/>
        <w:jc w:val="both"/>
        <w:rPr>
          <w:rFonts w:ascii="Arial" w:hAnsi="Arial" w:cs="Arial"/>
          <w:lang w:bidi="en-GB"/>
        </w:rPr>
      </w:pPr>
      <w:r>
        <w:rPr>
          <w:rFonts w:cs="Arial" w:ascii="Arial" w:hAnsi="Arial"/>
          <w:lang w:bidi="en-GB"/>
        </w:rPr>
      </w:r>
    </w:p>
    <w:p>
      <w:pPr>
        <w:pStyle w:val="Normal"/>
        <w:jc w:val="both"/>
        <w:rPr>
          <w:rFonts w:ascii="Arial" w:hAnsi="Arial"/>
        </w:rPr>
      </w:pPr>
      <w:r>
        <w:rPr>
          <w:rFonts w:cs="Arial" w:ascii="Arial" w:hAnsi="Arial"/>
          <w:lang w:bidi="en-GB"/>
        </w:rPr>
        <w:t>This Policy will be reviewed annually and updated as necessary. The Trustees Management Committee endorses this Policy and is fully committed to its implementation.</w:t>
      </w:r>
    </w:p>
    <w:p>
      <w:pPr>
        <w:pStyle w:val="Normal"/>
        <w:jc w:val="both"/>
        <w:rPr>
          <w:rFonts w:ascii="Arial" w:hAnsi="Arial" w:cs="Arial"/>
          <w:lang w:bidi="en-GB"/>
        </w:rPr>
      </w:pPr>
      <w:r>
        <w:rPr>
          <w:rFonts w:cs="Arial" w:ascii="Arial" w:hAnsi="Arial"/>
          <w:lang w:bidi="en-GB"/>
        </w:rPr>
      </w:r>
    </w:p>
    <w:p>
      <w:pPr>
        <w:pStyle w:val="Normal"/>
        <w:jc w:val="both"/>
        <w:rPr>
          <w:rFonts w:ascii="Arial" w:hAnsi="Arial" w:cs="Arial"/>
          <w:lang w:bidi="en-GB"/>
        </w:rPr>
      </w:pPr>
      <w:r>
        <w:rPr>
          <w:rFonts w:cs="Arial" w:ascii="Arial" w:hAnsi="Arial"/>
          <w:lang w:bidi="en-GB"/>
        </w:rPr>
      </w:r>
    </w:p>
    <w:p>
      <w:pPr>
        <w:pStyle w:val="Normal"/>
        <w:jc w:val="both"/>
        <w:rPr>
          <w:rFonts w:ascii="Arial" w:hAnsi="Arial" w:cs="Arial"/>
          <w:lang w:bidi="en-GB"/>
        </w:rPr>
      </w:pPr>
      <w:r>
        <w:rPr>
          <w:rFonts w:cs="Arial" w:ascii="Arial" w:hAnsi="Arial"/>
          <w:lang w:bidi="en-GB"/>
        </w:rPr>
      </w:r>
    </w:p>
    <w:p>
      <w:pPr>
        <w:pStyle w:val="Normal"/>
        <w:jc w:val="both"/>
        <w:rPr>
          <w:rFonts w:ascii="Arial" w:hAnsi="Arial"/>
        </w:rPr>
      </w:pPr>
      <w:r>
        <w:rPr>
          <w:rFonts w:cs="Arial" w:ascii="Arial" w:hAnsi="Arial"/>
          <w:b/>
          <w:bCs/>
          <w:lang w:bidi="en-GB"/>
        </w:rPr>
        <w:t>NOTES:</w:t>
      </w:r>
    </w:p>
    <w:p>
      <w:pPr>
        <w:pStyle w:val="Normal"/>
        <w:jc w:val="both"/>
        <w:rPr>
          <w:rFonts w:ascii="Arial" w:hAnsi="Arial"/>
        </w:rPr>
      </w:pPr>
      <w:r>
        <w:rPr>
          <w:rFonts w:cs="Arial" w:ascii="Arial" w:hAnsi="Arial"/>
          <w:b w:val="false"/>
          <w:bCs w:val="false"/>
          <w:lang w:val="en-US" w:bidi="en-GB"/>
        </w:rPr>
        <w:t>This Policy has been approved &amp; authorised by:</w:t>
      </w:r>
    </w:p>
    <w:p>
      <w:pPr>
        <w:pStyle w:val="Normal"/>
        <w:jc w:val="both"/>
        <w:rPr>
          <w:rFonts w:ascii="Arial" w:hAnsi="Arial" w:cs="Arial"/>
          <w:b/>
          <w:lang w:val="en-US" w:bidi="en-GB"/>
        </w:rPr>
      </w:pPr>
      <w:r>
        <w:rPr>
          <w:rFonts w:cs="Arial" w:ascii="Arial" w:hAnsi="Arial"/>
          <w:b/>
          <w:lang w:val="en-US" w:bidi="en-GB"/>
        </w:rPr>
      </w:r>
    </w:p>
    <w:tbl>
      <w:tblPr>
        <w:tblW w:w="9465" w:type="dxa"/>
        <w:jc w:val="left"/>
        <w:tblInd w:w="178" w:type="dxa"/>
        <w:tblLayout w:type="fixed"/>
        <w:tblCellMar>
          <w:top w:w="0" w:type="dxa"/>
          <w:left w:w="108" w:type="dxa"/>
          <w:bottom w:w="0" w:type="dxa"/>
          <w:right w:w="108" w:type="dxa"/>
        </w:tblCellMar>
      </w:tblPr>
      <w:tblGrid>
        <w:gridCol w:w="2441"/>
        <w:gridCol w:w="7024"/>
      </w:tblGrid>
      <w:tr>
        <w:trPr/>
        <w:tc>
          <w:tcPr>
            <w:tcW w:w="2441" w:type="dxa"/>
            <w:tcBorders>
              <w:top w:val="single" w:sz="2" w:space="0" w:color="000000"/>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lang w:eastAsia="en-GB" w:bidi="en-GB"/>
              </w:rPr>
              <w:t>Name:</w:t>
            </w:r>
          </w:p>
        </w:tc>
        <w:tc>
          <w:tcPr>
            <w:tcW w:w="7024"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lang w:eastAsia="en-GB" w:bidi="en-GB"/>
              </w:rPr>
              <w:t>Health &amp; Safety Committee 2020</w:t>
            </w:r>
          </w:p>
        </w:tc>
      </w:tr>
      <w:tr>
        <w:trPr/>
        <w:tc>
          <w:tcPr>
            <w:tcW w:w="2441"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lang w:eastAsia="en-GB" w:bidi="en-GB"/>
              </w:rPr>
              <w:t>Position:</w:t>
            </w:r>
          </w:p>
        </w:tc>
        <w:tc>
          <w:tcPr>
            <w:tcW w:w="7024"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lang w:eastAsia="en-GB" w:bidi="en-GB"/>
              </w:rPr>
              <w:t>Chair of Committee</w:t>
            </w:r>
          </w:p>
        </w:tc>
      </w:tr>
      <w:tr>
        <w:trPr/>
        <w:tc>
          <w:tcPr>
            <w:tcW w:w="2441"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lang w:eastAsia="en-GB" w:bidi="en-GB"/>
              </w:rPr>
              <w:t>Date:</w:t>
            </w:r>
          </w:p>
        </w:tc>
        <w:tc>
          <w:tcPr>
            <w:tcW w:w="7024"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val="false"/>
                <w:bCs w:val="false"/>
                <w:lang w:eastAsia="en-GB" w:bidi="en-GB"/>
              </w:rPr>
              <w:t>01/01/2020</w:t>
            </w:r>
          </w:p>
        </w:tc>
      </w:tr>
    </w:tbl>
    <w:p>
      <w:pPr>
        <w:pStyle w:val="Normal"/>
        <w:jc w:val="both"/>
        <w:rPr>
          <w:rFonts w:ascii="Arial" w:hAnsi="Arial" w:cs="Arial"/>
          <w:lang w:bidi="en-GB"/>
        </w:rPr>
      </w:pPr>
      <w:r>
        <w:rPr>
          <w:rFonts w:cs="Arial" w:ascii="Arial" w:hAnsi="Arial"/>
          <w:lang w:bidi="en-GB"/>
        </w:rPr>
      </w:r>
    </w:p>
    <w:p>
      <w:pPr>
        <w:pStyle w:val="Normal"/>
        <w:tabs>
          <w:tab w:val="clear" w:pos="720"/>
          <w:tab w:val="left" w:pos="-1225" w:leader="none"/>
          <w:tab w:val="left" w:pos="-720" w:leader="none"/>
          <w:tab w:val="left" w:pos="0" w:leader="none"/>
          <w:tab w:val="left" w:pos="736" w:leader="none"/>
          <w:tab w:val="left" w:pos="1076" w:leader="none"/>
          <w:tab w:val="left" w:pos="2160" w:leader="none"/>
        </w:tabs>
        <w:rPr>
          <w:rFonts w:ascii="Arial" w:hAnsi="Arial"/>
        </w:rPr>
      </w:pPr>
      <w:r>
        <w:rPr>
          <w:rFonts w:ascii="Arial" w:hAnsi="Arial"/>
        </w:rPr>
      </w:r>
    </w:p>
    <w:tbl>
      <w:tblPr>
        <w:tblW w:w="9525" w:type="dxa"/>
        <w:jc w:val="left"/>
        <w:tblInd w:w="158" w:type="dxa"/>
        <w:tblLayout w:type="fixed"/>
        <w:tblCellMar>
          <w:top w:w="0" w:type="dxa"/>
          <w:left w:w="108" w:type="dxa"/>
          <w:bottom w:w="0" w:type="dxa"/>
          <w:right w:w="108" w:type="dxa"/>
        </w:tblCellMar>
      </w:tblPr>
      <w:tblGrid>
        <w:gridCol w:w="2445"/>
        <w:gridCol w:w="1625"/>
        <w:gridCol w:w="5455"/>
      </w:tblGrid>
      <w:tr>
        <w:trPr/>
        <w:tc>
          <w:tcPr>
            <w:tcW w:w="2445"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Last Review</w:t>
            </w:r>
          </w:p>
        </w:tc>
        <w:tc>
          <w:tcPr>
            <w:tcW w:w="1625" w:type="dxa"/>
            <w:tcBorders>
              <w:top w:val="single" w:sz="2" w:space="0" w:color="000000"/>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20/02/2025</w:t>
            </w:r>
          </w:p>
        </w:tc>
        <w:tc>
          <w:tcPr>
            <w:tcW w:w="545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Last Ratification</w:t>
            </w:r>
          </w:p>
        </w:tc>
        <w:tc>
          <w:tcPr>
            <w:tcW w:w="1625"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455" w:type="dxa"/>
            <w:tcBorders>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Management committee (</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Cs/>
                <w:color w:val="auto"/>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Current Review</w:t>
            </w:r>
          </w:p>
        </w:tc>
        <w:tc>
          <w:tcPr>
            <w:tcW w:w="1625"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11/03/2026</w:t>
            </w:r>
          </w:p>
        </w:tc>
        <w:tc>
          <w:tcPr>
            <w:tcW w:w="5455"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Policy</w:t>
            </w:r>
            <w:r>
              <w:rPr>
                <w:rFonts w:eastAsia="Times New Roman" w:cs="Arial" w:ascii="Arial" w:hAnsi="Arial"/>
                <w:b/>
                <w:bCs/>
                <w:color w:val="auto"/>
                <w:sz w:val="22"/>
                <w:szCs w:val="22"/>
                <w:lang w:val="en-GB" w:eastAsia="en-GB" w:bidi="en-GB"/>
              </w:rPr>
              <w:t xml:space="preserve"> </w:t>
            </w:r>
            <w:r>
              <w:rPr>
                <w:rFonts w:eastAsia="Times New Roman" w:cs="Arial" w:ascii="Arial" w:hAnsi="Arial"/>
                <w:b w:val="false"/>
                <w:bCs w:val="false"/>
                <w:color w:val="auto"/>
                <w:sz w:val="22"/>
                <w:szCs w:val="22"/>
                <w:lang w:val="en-GB" w:eastAsia="en-GB" w:bidi="en-GB"/>
              </w:rPr>
              <w:t xml:space="preserve">subcommittee </w:t>
            </w:r>
            <w:r>
              <w:rPr>
                <w:rFonts w:eastAsia="Times New Roman" w:cs="Arial" w:ascii="Arial" w:hAnsi="Arial"/>
                <w:b w:val="false"/>
                <w:bCs/>
                <w:color w:val="auto"/>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sz w:val="22"/>
                <w:szCs w:val="22"/>
                <w:lang w:eastAsia="en-GB" w:bidi="en-GB"/>
              </w:rPr>
              <w:t>Current Ratification</w:t>
            </w:r>
          </w:p>
        </w:tc>
        <w:tc>
          <w:tcPr>
            <w:tcW w:w="1625"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455"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Management meeting </w:t>
            </w:r>
            <w:r>
              <w:rPr>
                <w:rFonts w:eastAsia="Times New Roman" w:cs="Arial" w:ascii="Arial" w:hAnsi="Arial"/>
                <w:b w:val="false"/>
                <w:bCs/>
                <w:color w:val="auto"/>
                <w:kern w:val="2"/>
                <w:sz w:val="22"/>
                <w:szCs w:val="22"/>
                <w:lang w:val="en-GB" w:eastAsia="en-GB" w:bidi="en-GB"/>
              </w:rPr>
              <w:t>(</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 w:val="false"/>
                <w:bCs/>
                <w:color w:val="auto"/>
                <w:kern w:val="2"/>
                <w:sz w:val="22"/>
                <w:szCs w:val="22"/>
                <w:lang w:val="en-GB" w:eastAsia="en-GB" w:bidi="en-GB"/>
              </w:rPr>
              <w:t>Ken Gates)</w:t>
            </w:r>
          </w:p>
        </w:tc>
      </w:tr>
    </w:tbl>
    <w:p>
      <w:pPr>
        <w:pStyle w:val="Normal"/>
        <w:bidi w:val="0"/>
        <w:jc w:val="both"/>
        <w:rPr>
          <w:rFonts w:ascii="Arial" w:hAnsi="Arial" w:cs="Arial"/>
          <w:lang w:bidi="en-GB"/>
        </w:rPr>
      </w:pPr>
      <w:r>
        <w:rPr>
          <w:rFonts w:cs="Arial" w:ascii="Arial" w:hAnsi="Arial"/>
          <w:lang w:bidi="en-GB"/>
        </w:rPr>
        <w:drawing>
          <wp:anchor distT="0" distB="0" distL="0" distR="0" simplePos="0" relativeHeight="2" behindDoc="0" locked="0" layoutInCell="1" allowOverlap="1">
            <wp:simplePos x="0" y="0"/>
            <wp:positionH relativeFrom="column">
              <wp:posOffset>815975</wp:posOffset>
            </wp:positionH>
            <wp:positionV relativeFrom="paragraph">
              <wp:posOffset>71755</wp:posOffset>
            </wp:positionV>
            <wp:extent cx="1359535" cy="38608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43" t="-119" r="-43" b="-119"/>
                    <a:stretch>
                      <a:fillRect/>
                    </a:stretch>
                  </pic:blipFill>
                  <pic:spPr bwMode="auto">
                    <a:xfrm>
                      <a:off x="0" y="0"/>
                      <a:ext cx="1359535" cy="386080"/>
                    </a:xfrm>
                    <a:prstGeom prst="rect">
                      <a:avLst/>
                    </a:prstGeom>
                    <a:noFill/>
                  </pic:spPr>
                </pic:pic>
              </a:graphicData>
            </a:graphic>
          </wp:anchor>
        </w:drawing>
      </w:r>
    </w:p>
    <w:p>
      <w:pPr>
        <w:pStyle w:val="Default"/>
        <w:bidi w:val="0"/>
        <w:jc w:val="both"/>
        <w:rPr>
          <w:rFonts w:ascii="Arial" w:hAnsi="Arial" w:cs="Arial"/>
          <w:lang w:bidi="en-GB"/>
        </w:rPr>
      </w:pPr>
      <w:r>
        <w:rPr>
          <w:rFonts w:cs="Arial"/>
          <w:lang w:bidi="en-GB"/>
        </w:rPr>
      </w:r>
    </w:p>
    <w:p>
      <w:pPr>
        <w:pStyle w:val="Default"/>
        <w:bidi w:val="0"/>
        <w:jc w:val="both"/>
        <w:rPr>
          <w:rFonts w:ascii="Arial" w:hAnsi="Arial"/>
        </w:rPr>
      </w:pPr>
      <w:r>
        <w:rPr/>
        <w:t>Signed…</w:t>
      </w:r>
      <w:r>
        <w:rPr>
          <w:rFonts w:cs="Arial"/>
          <w:lang w:bidi="en-GB"/>
        </w:rPr>
        <w:tab/>
        <w:tab/>
        <w:tab/>
        <w:tab/>
        <w:tab/>
        <w:tab/>
        <w:t>26/03/2026</w:t>
      </w:r>
    </w:p>
    <w:p>
      <w:pPr>
        <w:pStyle w:val="Normal"/>
        <w:tabs>
          <w:tab w:val="clear" w:pos="720"/>
          <w:tab w:val="left" w:pos="-1225" w:leader="none"/>
          <w:tab w:val="left" w:pos="-720" w:leader="none"/>
          <w:tab w:val="left" w:pos="0" w:leader="none"/>
          <w:tab w:val="left" w:pos="736" w:leader="none"/>
          <w:tab w:val="left" w:pos="1076" w:leader="none"/>
          <w:tab w:val="left" w:pos="2160" w:leader="none"/>
        </w:tabs>
        <w:bidi w:val="0"/>
        <w:jc w:val="both"/>
        <w:rPr>
          <w:rFonts w:ascii="Arial" w:hAnsi="Arial"/>
        </w:rPr>
      </w:pPr>
      <w:r>
        <w:rPr>
          <w:rFonts w:ascii="Arial" w:hAnsi="Arial"/>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220" w:right="1137" w:gutter="0" w:header="724" w:top="1702" w:footer="509"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Liberation Sans">
    <w:altName w:val="Arial"/>
    <w:charset w:val="00"/>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t xml:space="preserve">© Simply-Docs – HS.STAT.34 – Manual Handling Policy                          </w:t>
    </w:r>
    <w:r>
      <w:rPr>
        <w:rFonts w:cs="Arial" w:ascii="Arial" w:hAnsi="Arial"/>
        <w:sz w:val="14"/>
      </w:rPr>
      <w:fldChar w:fldCharType="begin"/>
    </w:r>
    <w:r>
      <w:rPr>
        <w:rFonts w:cs="Arial" w:ascii="Arial" w:hAnsi="Arial"/>
        <w:sz w:val="14"/>
      </w:rPr>
      <w:instrText xml:space="preserve"> FILENAME </w:instrText>
    </w:r>
    <w:r>
      <w:rPr>
        <w:rFonts w:cs="Arial" w:ascii="Arial" w:hAnsi="Arial"/>
        <w:sz w:val="14"/>
      </w:rPr>
      <w:fldChar w:fldCharType="separate"/>
    </w:r>
    <w:r>
      <w:rPr>
        <w:rFonts w:cs="Arial" w:ascii="Arial" w:hAnsi="Arial"/>
        <w:sz w:val="14"/>
      </w:rPr>
      <w:t>FMYCA Manual Handling Policy.docx</w:t>
    </w:r>
    <w:r>
      <w:rPr>
        <w:rFonts w:cs="Arial" w:ascii="Arial" w:hAnsi="Arial"/>
        <w:sz w:val="14"/>
      </w:rPr>
      <w:fldChar w:fldCharType="end"/>
    </w:r>
    <w:r>
      <w:rPr>
        <w:rFonts w:cs="Arial" w:ascii="Arial" w:hAnsi="Arial"/>
        <w:sz w:val="14"/>
      </w:rPr>
      <w:tab/>
      <w:tab/>
      <w:tab/>
      <w:tab/>
    </w:r>
    <w:r>
      <w:rPr>
        <w:rFonts w:cs="Arial" w:ascii="Arial" w:hAnsi="Arial"/>
        <w:sz w:val="14"/>
      </w:rPr>
      <w:fldChar w:fldCharType="begin"/>
    </w:r>
    <w:r>
      <w:rPr>
        <w:rFonts w:cs="Arial" w:ascii="Arial" w:hAnsi="Arial"/>
        <w:sz w:val="14"/>
      </w:rPr>
      <w:instrText xml:space="preserve"> PAGE </w:instrText>
    </w:r>
    <w:r>
      <w:rPr>
        <w:rFonts w:cs="Arial" w:ascii="Arial" w:hAnsi="Arial"/>
        <w:sz w:val="14"/>
      </w:rPr>
      <w:fldChar w:fldCharType="separate"/>
    </w:r>
    <w:r>
      <w:rPr>
        <w:rFonts w:cs="Arial" w:ascii="Arial" w:hAnsi="Arial"/>
        <w:sz w:val="14"/>
      </w:rPr>
      <w:t>2</w:t>
    </w:r>
    <w:r>
      <w:rPr>
        <w:rFonts w:cs="Arial" w:ascii="Arial" w:hAnsi="Arial"/>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t xml:space="preserve">© Simply-Docs – HS.STAT.34 – Manual Handling Policy                          </w:t>
    </w:r>
    <w:r>
      <w:rPr>
        <w:rFonts w:cs="Arial" w:ascii="Arial" w:hAnsi="Arial"/>
        <w:sz w:val="14"/>
      </w:rPr>
      <w:fldChar w:fldCharType="begin"/>
    </w:r>
    <w:r>
      <w:rPr>
        <w:rFonts w:cs="Arial" w:ascii="Arial" w:hAnsi="Arial"/>
        <w:sz w:val="14"/>
      </w:rPr>
      <w:instrText xml:space="preserve"> FILENAME </w:instrText>
    </w:r>
    <w:r>
      <w:rPr>
        <w:rFonts w:cs="Arial" w:ascii="Arial" w:hAnsi="Arial"/>
        <w:sz w:val="14"/>
      </w:rPr>
      <w:fldChar w:fldCharType="separate"/>
    </w:r>
    <w:r>
      <w:rPr>
        <w:rFonts w:cs="Arial" w:ascii="Arial" w:hAnsi="Arial"/>
        <w:sz w:val="14"/>
      </w:rPr>
      <w:t>FMYCA Manual Handling Policy.docx</w:t>
    </w:r>
    <w:r>
      <w:rPr>
        <w:rFonts w:cs="Arial" w:ascii="Arial" w:hAnsi="Arial"/>
        <w:sz w:val="14"/>
      </w:rPr>
      <w:fldChar w:fldCharType="end"/>
    </w:r>
    <w:r>
      <w:rPr>
        <w:rFonts w:cs="Arial" w:ascii="Arial" w:hAnsi="Arial"/>
        <w:sz w:val="14"/>
      </w:rPr>
      <w:tab/>
      <w:tab/>
      <w:tab/>
      <w:tab/>
    </w:r>
    <w:r>
      <w:rPr>
        <w:rFonts w:cs="Arial" w:ascii="Arial" w:hAnsi="Arial"/>
        <w:sz w:val="14"/>
      </w:rPr>
      <w:fldChar w:fldCharType="begin"/>
    </w:r>
    <w:r>
      <w:rPr>
        <w:rFonts w:cs="Arial" w:ascii="Arial" w:hAnsi="Arial"/>
        <w:sz w:val="14"/>
      </w:rPr>
      <w:instrText xml:space="preserve"> PAGE </w:instrText>
    </w:r>
    <w:r>
      <w:rPr>
        <w:rFonts w:cs="Arial" w:ascii="Arial" w:hAnsi="Arial"/>
        <w:sz w:val="14"/>
      </w:rPr>
      <w:fldChar w:fldCharType="separate"/>
    </w:r>
    <w:r>
      <w:rPr>
        <w:rFonts w:cs="Arial" w:ascii="Arial" w:hAnsi="Arial"/>
        <w:sz w:val="14"/>
      </w:rPr>
      <w:t>2</w:t>
    </w:r>
    <w:r>
      <w:rPr>
        <w:rFonts w:cs="Arial" w:ascii="Arial" w:hAnsi="Arial"/>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before="0" w:after="12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before="0" w:after="12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20" w:hanging="720"/>
      </w:pPr>
      <w:rPr>
        <w:rFonts w:ascii="Arial" w:hAnsi="Arial" w:eastAsia="Arial" w:cs="Arial"/>
        <w:b/>
        <w:bCs/>
        <w:w w:val="99"/>
        <w:sz w:val="24"/>
        <w:szCs w:val="24"/>
        <w:lang w:val="en-GB" w:bidi="en-GB"/>
      </w:rPr>
    </w:lvl>
    <w:lvl w:ilvl="1">
      <w:start w:val="1"/>
      <w:numFmt w:val="decimal"/>
      <w:lvlText w:val="4.%2.1"/>
      <w:lvlJc w:val="left"/>
      <w:pPr>
        <w:tabs>
          <w:tab w:val="num" w:pos="0"/>
        </w:tabs>
        <w:ind w:left="940" w:hanging="360"/>
      </w:pPr>
      <w:rPr>
        <w:rFonts w:cs="Arial"/>
        <w:w w:val="100"/>
        <w:sz w:val="24"/>
        <w:szCs w:val="24"/>
        <w:lang w:val="en-GB" w:bidi="en-GB"/>
      </w:rPr>
    </w:lvl>
    <w:lvl w:ilvl="2">
      <w:start w:val="0"/>
      <w:numFmt w:val="bullet"/>
      <w:lvlText w:val="•"/>
      <w:lvlJc w:val="left"/>
      <w:pPr>
        <w:tabs>
          <w:tab w:val="num" w:pos="0"/>
        </w:tabs>
        <w:ind w:left="1914" w:hanging="360"/>
      </w:pPr>
      <w:rPr>
        <w:rFonts w:ascii="Liberation Serif" w:hAnsi="Liberation Serif" w:cs="Liberation Serif" w:hint="default"/>
      </w:rPr>
    </w:lvl>
    <w:lvl w:ilvl="3">
      <w:start w:val="0"/>
      <w:numFmt w:val="bullet"/>
      <w:lvlText w:val="•"/>
      <w:lvlJc w:val="left"/>
      <w:pPr>
        <w:tabs>
          <w:tab w:val="num" w:pos="0"/>
        </w:tabs>
        <w:ind w:left="2888" w:hanging="360"/>
      </w:pPr>
      <w:rPr>
        <w:rFonts w:ascii="Liberation Serif" w:hAnsi="Liberation Serif" w:cs="Liberation Serif" w:hint="default"/>
      </w:rPr>
    </w:lvl>
    <w:lvl w:ilvl="4">
      <w:start w:val="0"/>
      <w:numFmt w:val="bullet"/>
      <w:lvlText w:val="•"/>
      <w:lvlJc w:val="left"/>
      <w:pPr>
        <w:tabs>
          <w:tab w:val="num" w:pos="0"/>
        </w:tabs>
        <w:ind w:left="3862" w:hanging="360"/>
      </w:pPr>
      <w:rPr>
        <w:rFonts w:ascii="Liberation Serif" w:hAnsi="Liberation Serif" w:cs="Liberation Serif" w:hint="default"/>
      </w:rPr>
    </w:lvl>
    <w:lvl w:ilvl="5">
      <w:start w:val="0"/>
      <w:numFmt w:val="bullet"/>
      <w:lvlText w:val="•"/>
      <w:lvlJc w:val="left"/>
      <w:pPr>
        <w:tabs>
          <w:tab w:val="num" w:pos="0"/>
        </w:tabs>
        <w:ind w:left="4836" w:hanging="360"/>
      </w:pPr>
      <w:rPr>
        <w:rFonts w:ascii="Liberation Serif" w:hAnsi="Liberation Serif" w:cs="Liberation Serif" w:hint="default"/>
      </w:rPr>
    </w:lvl>
    <w:lvl w:ilvl="6">
      <w:start w:val="0"/>
      <w:numFmt w:val="bullet"/>
      <w:lvlText w:val="•"/>
      <w:lvlJc w:val="left"/>
      <w:pPr>
        <w:tabs>
          <w:tab w:val="num" w:pos="0"/>
        </w:tabs>
        <w:ind w:left="5810" w:hanging="360"/>
      </w:pPr>
      <w:rPr>
        <w:rFonts w:ascii="Liberation Serif" w:hAnsi="Liberation Serif" w:cs="Liberation Serif" w:hint="default"/>
      </w:rPr>
    </w:lvl>
    <w:lvl w:ilvl="7">
      <w:start w:val="0"/>
      <w:numFmt w:val="bullet"/>
      <w:lvlText w:val="•"/>
      <w:lvlJc w:val="left"/>
      <w:pPr>
        <w:tabs>
          <w:tab w:val="num" w:pos="0"/>
        </w:tabs>
        <w:ind w:left="6784" w:hanging="360"/>
      </w:pPr>
      <w:rPr>
        <w:rFonts w:ascii="Liberation Serif" w:hAnsi="Liberation Serif" w:cs="Liberation Serif" w:hint="default"/>
      </w:rPr>
    </w:lvl>
    <w:lvl w:ilvl="8">
      <w:start w:val="0"/>
      <w:numFmt w:val="bullet"/>
      <w:lvlText w:val="•"/>
      <w:lvlJc w:val="left"/>
      <w:pPr>
        <w:tabs>
          <w:tab w:val="num" w:pos="0"/>
        </w:tabs>
        <w:ind w:left="7758" w:hanging="360"/>
      </w:pPr>
      <w:rPr>
        <w:rFonts w:ascii="Liberation Serif" w:hAnsi="Liberation Serif" w:cs="Liberation Serif" w:hint="default"/>
      </w:rPr>
    </w:lvl>
  </w:abstractNum>
  <w:abstractNum w:abstractNumId="2">
    <w:lvl w:ilvl="0">
      <w:start w:val="1"/>
      <w:numFmt w:val="decimal"/>
      <w:lvlText w:val="3.%1"/>
      <w:lvlJc w:val="left"/>
      <w:pPr>
        <w:tabs>
          <w:tab w:val="num" w:pos="0"/>
        </w:tabs>
        <w:ind w:left="720" w:hanging="360"/>
      </w:pPr>
      <w:rPr>
        <w:rFonts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4.%1"/>
      <w:lvlJc w:val="left"/>
      <w:pPr>
        <w:tabs>
          <w:tab w:val="num" w:pos="0"/>
        </w:tabs>
        <w:ind w:left="720" w:hanging="360"/>
      </w:pPr>
      <w:rPr>
        <w:rFonts w:ascii="Arial" w:hAnsi="Arial" w:cs="Arial"/>
        <w:lang w:bidi="en-G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1080" w:hanging="360"/>
      </w:pPr>
      <w:rPr>
        <w:rFonts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libri" w:hAnsi="Calibri" w:eastAsia="Calibri" w:cs="Times New Roman"/>
      <w:color w:val="auto"/>
      <w:kern w:val="0"/>
      <w:sz w:val="22"/>
      <w:szCs w:val="22"/>
      <w:lang w:val="en-GB" w:eastAsia="zh-CN" w:bidi="ar-SA"/>
    </w:rPr>
  </w:style>
  <w:style w:type="character" w:styleId="WW8Num1z0">
    <w:name w:val="WW8Num1z0"/>
    <w:qFormat/>
    <w:rPr>
      <w:rFonts w:ascii="Arial" w:hAnsi="Arial" w:eastAsia="Arial" w:cs="Arial"/>
      <w:b/>
      <w:bCs/>
      <w:w w:val="99"/>
      <w:sz w:val="24"/>
      <w:szCs w:val="24"/>
      <w:lang w:val="en-GB" w:bidi="en-GB"/>
    </w:rPr>
  </w:style>
  <w:style w:type="character" w:styleId="WW8Num1z1">
    <w:name w:val="WW8Num1z1"/>
    <w:qFormat/>
    <w:rPr>
      <w:rFonts w:cs="Arial"/>
      <w:w w:val="100"/>
      <w:sz w:val="24"/>
      <w:szCs w:val="24"/>
      <w:lang w:val="en-GB" w:bidi="en-GB"/>
    </w:rPr>
  </w:style>
  <w:style w:type="character" w:styleId="WW8Num1z2">
    <w:name w:val="WW8Num1z2"/>
    <w:qFormat/>
    <w:rPr>
      <w:lang w:val="en-GB" w:bidi="en-GB"/>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eastAsia="Arial" w:cs="Arial"/>
      <w:spacing w:val="-3"/>
      <w:w w:val="99"/>
      <w:sz w:val="24"/>
      <w:szCs w:val="24"/>
      <w:lang w:val="en-GB" w:bidi="en-GB"/>
    </w:rPr>
  </w:style>
  <w:style w:type="character" w:styleId="WW8Num4z1">
    <w:name w:val="WW8Num4z1"/>
    <w:qFormat/>
    <w:rPr>
      <w:lang w:val="en-GB" w:bidi="en-GB"/>
    </w:rPr>
  </w:style>
  <w:style w:type="character" w:styleId="WW8Num5z0">
    <w:name w:val="WW8Num5z0"/>
    <w:qFormat/>
    <w:rPr>
      <w:rFonts w:ascii="Arial" w:hAnsi="Arial" w:cs="Arial"/>
      <w:lang w:bidi="en-GB"/>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cs="Aria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eastAsia="Arial" w:cs="Arial"/>
      <w:b/>
      <w:bCs/>
      <w:w w:val="99"/>
      <w:sz w:val="24"/>
      <w:szCs w:val="24"/>
      <w:lang w:val="en-GB" w:bidi="en-GB"/>
    </w:rPr>
  </w:style>
  <w:style w:type="character" w:styleId="WW8Num9z1">
    <w:name w:val="WW8Num9z1"/>
    <w:qFormat/>
    <w:rPr>
      <w:rFonts w:ascii="Symbol" w:hAnsi="Symbol" w:eastAsia="Symbol" w:cs="Symbol"/>
      <w:w w:val="100"/>
      <w:sz w:val="24"/>
      <w:szCs w:val="24"/>
      <w:lang w:val="en-GB" w:bidi="en-GB"/>
    </w:rPr>
  </w:style>
  <w:style w:type="character" w:styleId="WW8Num9z2">
    <w:name w:val="WW8Num9z2"/>
    <w:qFormat/>
    <w:rPr>
      <w:lang w:val="en-GB" w:bidi="en-GB"/>
    </w:rPr>
  </w:style>
  <w:style w:type="character" w:styleId="DefaultParagraphFont">
    <w:name w:val="Default Paragraph Font"/>
    <w:qFormat/>
    <w:rPr/>
  </w:style>
  <w:style w:type="character" w:styleId="BodyTextChar">
    <w:name w:val="Body Text Char"/>
    <w:basedOn w:val="DefaultParagraphFont"/>
    <w:qFormat/>
    <w:rPr/>
  </w:style>
  <w:style w:type="character" w:styleId="Hyperlink">
    <w:name w:val="Hyperlink"/>
    <w:rPr>
      <w:color w:val="0563C1"/>
      <w:u w:val="single"/>
    </w:rPr>
  </w:style>
  <w:style w:type="character" w:styleId="UnresolvedMention1">
    <w:name w:val="Unresolved Mention1"/>
    <w:qFormat/>
    <w:rPr>
      <w:color w:val="808080"/>
      <w:shd w:fill="E6E6E6" w:val="clear"/>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0"/>
      <w:ind w:hanging="0" w:left="720"/>
      <w:contextualSpacing/>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189</TotalTime>
  <Application>LibreOffice/25.8.5.2$Windows_X86_64 LibreOffice_project/9c8b85f387cc00a89945a79c9e6239f32e450ac2</Application>
  <AppVersion>15.0000</AppVersion>
  <Pages>2</Pages>
  <Words>626</Words>
  <Characters>3545</Characters>
  <CharactersWithSpaces>4178</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keywords> </cp:keywords>
  <dc:language>en-GB</dc:language>
  <cp:lastModifiedBy/>
  <dcterms:modified xsi:type="dcterms:W3CDTF">2026-03-11T17:23:04Z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