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tbl>
      <w:tblPr>
        <w:tblW w:w="9338" w:type="dxa"/>
        <w:jc w:val="left"/>
        <w:tblInd w:w="-25" w:type="dxa"/>
        <w:tblLayout w:type="fixed"/>
        <w:tblCellMar>
          <w:top w:w="113" w:type="dxa"/>
          <w:left w:w="108" w:type="dxa"/>
          <w:bottom w:w="113" w:type="dxa"/>
          <w:right w:w="108" w:type="dxa"/>
        </w:tblCellMar>
      </w:tblPr>
      <w:tblGrid>
        <w:gridCol w:w="9338"/>
      </w:tblGrid>
      <w:tr>
        <w:trPr/>
        <w:tc>
          <w:tcPr>
            <w:tcW w:w="93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Framwellgate Moor Youth &amp; Community Association</w:t>
            </w:r>
          </w:p>
          <w:p>
            <w:pPr>
              <w:pStyle w:val="Normal"/>
              <w:widowControl w:val="false"/>
              <w:spacing w:before="57" w:after="57"/>
              <w:jc w:val="center"/>
              <w:rPr>
                <w:b w:val="false"/>
                <w:bCs w:val="false"/>
                <w:sz w:val="22"/>
                <w:szCs w:val="22"/>
              </w:rPr>
            </w:pPr>
            <w:r>
              <w:rPr>
                <w:b w:val="false"/>
                <w:bCs w:val="false"/>
                <w:sz w:val="22"/>
                <w:szCs w:val="22"/>
              </w:rPr>
              <w:t>Registered Charity No 1154450</w:t>
            </w:r>
          </w:p>
          <w:p>
            <w:pPr>
              <w:pStyle w:val="Normal"/>
              <w:widowControl w:val="false"/>
              <w:jc w:val="center"/>
              <w:rPr>
                <w:b/>
                <w:sz w:val="24"/>
                <w:szCs w:val="24"/>
              </w:rPr>
            </w:pPr>
            <w:r>
              <w:rPr>
                <w:b/>
                <w:sz w:val="24"/>
                <w:szCs w:val="24"/>
              </w:rPr>
              <w:t>Allergen Policy – Initiated January 2020</w:t>
            </w:r>
          </w:p>
        </w:tc>
      </w:tr>
    </w:tbl>
    <w:p>
      <w:pPr>
        <w:pStyle w:val="Normal"/>
        <w:jc w:val="center"/>
        <w:rPr/>
      </w:pPr>
      <w:r>
        <w:rPr/>
      </w:r>
    </w:p>
    <w:p>
      <w:pPr>
        <w:pStyle w:val="Normal"/>
        <w:bidi w:val="0"/>
        <w:spacing w:before="114" w:after="114"/>
        <w:jc w:val="left"/>
        <w:rPr>
          <w:sz w:val="22"/>
          <w:szCs w:val="22"/>
        </w:rPr>
      </w:pPr>
      <w:r>
        <w:rPr>
          <w:sz w:val="22"/>
          <w:szCs w:val="22"/>
        </w:rPr>
        <w:t>This is the Allergen Policy of Framwellgate Moor Youth &amp; Community Association (FMYCA)</w:t>
      </w:r>
    </w:p>
    <w:p>
      <w:pPr>
        <w:pStyle w:val="Style11"/>
        <w:numPr>
          <w:ilvl w:val="0"/>
          <w:numId w:val="3"/>
        </w:numPr>
        <w:rPr/>
      </w:pPr>
      <w:r>
        <w:rPr/>
        <w:t>Introduction</w:t>
      </w:r>
    </w:p>
    <w:p>
      <w:pPr>
        <w:pStyle w:val="Style21"/>
        <w:numPr>
          <w:ilvl w:val="2"/>
          <w:numId w:val="3"/>
        </w:numPr>
        <w:rPr/>
      </w:pPr>
      <w:r>
        <w:rPr/>
        <w:t>The EU Food Information for Consumers Regulation (No. 1169/2011) (FIC) and Food Information Regulations 2014 (SI 2014/1855) (FIR) will be in force from 13</w:t>
      </w:r>
      <w:r>
        <w:rPr>
          <w:vertAlign w:val="superscript"/>
        </w:rPr>
        <w:t>th</w:t>
      </w:r>
      <w:r>
        <w:rPr/>
        <w:t xml:space="preserve"> December 2014. </w:t>
      </w:r>
      <w:r>
        <w:rPr>
          <w:szCs w:val="22"/>
        </w:rPr>
        <w:t>T</w:t>
      </w:r>
      <w:r>
        <w:rPr>
          <w:rFonts w:cs="Arial"/>
          <w:szCs w:val="22"/>
        </w:rPr>
        <w:t xml:space="preserve">he Regulations require food businesses to provide clear and accurate information on the allergens present in the food they have produced so that allergic individuals can avoid consuming food that may cause them to have an allergic reaction. </w:t>
      </w:r>
    </w:p>
    <w:p>
      <w:pPr>
        <w:pStyle w:val="Style21"/>
        <w:numPr>
          <w:ilvl w:val="2"/>
          <w:numId w:val="3"/>
        </w:numPr>
        <w:rPr/>
      </w:pPr>
      <w:r>
        <w:rPr>
          <w:szCs w:val="22"/>
        </w:rPr>
        <w:t>The Regulations</w:t>
      </w:r>
      <w:r>
        <w:rPr>
          <w:rFonts w:cs="Arial"/>
          <w:szCs w:val="22"/>
        </w:rPr>
        <w:t xml:space="preserve"> include a list of the 14 most common ingredients and processing aids that cause food allergies and intolerances and the detailed list is attached as an Appendix to this policy. The Regulations </w:t>
      </w:r>
      <w:r>
        <w:rPr>
          <w:szCs w:val="22"/>
        </w:rPr>
        <w:t>require the Food Business Operator to ensure that if</w:t>
      </w:r>
      <w:r>
        <w:rPr>
          <w:rFonts w:cs="Arial"/>
          <w:szCs w:val="22"/>
        </w:rPr>
        <w:t xml:space="preserve"> a food product contains or uses an ingredient or processing aid derived from one of the listed substances or products then it will be declared to the customer.</w:t>
      </w:r>
      <w:r>
        <w:rPr>
          <w:rFonts w:cs="Arial"/>
          <w:sz w:val="20"/>
          <w:szCs w:val="22"/>
          <w:lang w:eastAsia="en-GB"/>
        </w:rPr>
        <w:t xml:space="preserve"> </w:t>
      </w:r>
    </w:p>
    <w:p>
      <w:pPr>
        <w:pStyle w:val="Style21"/>
        <w:numPr>
          <w:ilvl w:val="2"/>
          <w:numId w:val="3"/>
        </w:numPr>
        <w:rPr>
          <w:rFonts w:cs="Arial"/>
          <w:szCs w:val="22"/>
          <w:lang w:eastAsia="en-GB"/>
        </w:rPr>
      </w:pPr>
      <w:r>
        <w:rPr>
          <w:rFonts w:cs="Arial"/>
          <w:szCs w:val="22"/>
          <w:lang w:eastAsia="en-GB"/>
        </w:rPr>
        <w:t>These Regulations apply to all stages of production, processing and distribution of food for human consumption.</w:t>
      </w:r>
    </w:p>
    <w:p>
      <w:pPr>
        <w:pStyle w:val="Style21"/>
        <w:numPr>
          <w:ilvl w:val="2"/>
          <w:numId w:val="3"/>
        </w:numPr>
        <w:rPr>
          <w:rFonts w:cs="Arial"/>
          <w:szCs w:val="22"/>
          <w:lang w:eastAsia="en-GB"/>
        </w:rPr>
      </w:pPr>
      <w:r>
        <w:rPr>
          <w:rFonts w:cs="Arial"/>
          <w:szCs w:val="22"/>
          <w:lang w:eastAsia="en-GB"/>
        </w:rPr>
        <w:t>The Health and Care Bill gives power to the Secretary of State in England and ministers in Scotland and Wales to amend the retained Regulation (EU) No. 1169/2011 through regulations.</w:t>
      </w:r>
    </w:p>
    <w:p>
      <w:pPr>
        <w:pStyle w:val="Style21"/>
        <w:numPr>
          <w:ilvl w:val="2"/>
          <w:numId w:val="3"/>
        </w:numPr>
        <w:rPr/>
      </w:pPr>
      <w:r>
        <w:rPr/>
        <w:t xml:space="preserve">The </w:t>
      </w:r>
      <w:r>
        <w:rPr>
          <w:rFonts w:eastAsia="Times New Roman" w:cs="Arial"/>
          <w:color w:val="auto"/>
          <w:kern w:val="0"/>
          <w:sz w:val="22"/>
          <w:szCs w:val="22"/>
          <w:lang w:val="en-GB" w:eastAsia="en-GB" w:bidi="ar-SA"/>
        </w:rPr>
        <w:t>Association</w:t>
      </w:r>
      <w:r>
        <w:rPr/>
        <w:t xml:space="preserve"> is committed to reducing the risk to the customer of consuming allergens in food.</w:t>
      </w:r>
    </w:p>
    <w:p>
      <w:pPr>
        <w:pStyle w:val="Style21"/>
        <w:numPr>
          <w:ilvl w:val="0"/>
          <w:numId w:val="0"/>
        </w:numPr>
        <w:ind w:hanging="0" w:left="0" w:right="0"/>
        <w:rPr>
          <w:szCs w:val="22"/>
        </w:rPr>
      </w:pPr>
      <w:r>
        <w:rPr>
          <w:szCs w:val="22"/>
        </w:rPr>
      </w:r>
    </w:p>
    <w:p>
      <w:pPr>
        <w:pStyle w:val="Style11"/>
        <w:numPr>
          <w:ilvl w:val="0"/>
          <w:numId w:val="3"/>
        </w:numPr>
        <w:rPr/>
      </w:pPr>
      <w:r>
        <w:rPr/>
        <w:t>Ingredients/Labelling</w:t>
      </w:r>
    </w:p>
    <w:p>
      <w:pPr>
        <w:pStyle w:val="Style21"/>
        <w:numPr>
          <w:ilvl w:val="2"/>
          <w:numId w:val="3"/>
        </w:numPr>
        <w:rPr/>
      </w:pPr>
      <w:r>
        <w:rPr/>
        <w:tab/>
        <w:t>The 14 allergen groups listed are as follows;</w:t>
      </w:r>
    </w:p>
    <w:p>
      <w:pPr>
        <w:pStyle w:val="Style311"/>
        <w:numPr>
          <w:ilvl w:val="4"/>
          <w:numId w:val="3"/>
        </w:numPr>
        <w:rPr/>
      </w:pPr>
      <w:r>
        <w:rPr/>
        <w:t xml:space="preserve">Cereals containing gluten – wheat, rye, barley, oats, spelt, khorasan, kamut or their hybrid strains </w:t>
      </w:r>
    </w:p>
    <w:p>
      <w:pPr>
        <w:pStyle w:val="Style311"/>
        <w:numPr>
          <w:ilvl w:val="4"/>
          <w:numId w:val="3"/>
        </w:numPr>
        <w:rPr/>
      </w:pPr>
      <w:r>
        <w:rPr/>
        <w:t>Crustaceans</w:t>
      </w:r>
    </w:p>
    <w:p>
      <w:pPr>
        <w:pStyle w:val="Style311"/>
        <w:numPr>
          <w:ilvl w:val="4"/>
          <w:numId w:val="3"/>
        </w:numPr>
        <w:rPr/>
      </w:pPr>
      <w:r>
        <w:rPr/>
        <w:t>Egg</w:t>
      </w:r>
    </w:p>
    <w:p>
      <w:pPr>
        <w:pStyle w:val="Style311"/>
        <w:numPr>
          <w:ilvl w:val="4"/>
          <w:numId w:val="3"/>
        </w:numPr>
        <w:rPr/>
      </w:pPr>
      <w:r>
        <w:rPr/>
        <w:t>Fish</w:t>
      </w:r>
    </w:p>
    <w:p>
      <w:pPr>
        <w:pStyle w:val="Style311"/>
        <w:numPr>
          <w:ilvl w:val="4"/>
          <w:numId w:val="3"/>
        </w:numPr>
        <w:rPr/>
      </w:pPr>
      <w:r>
        <w:rPr/>
        <w:t>Lupin</w:t>
      </w:r>
    </w:p>
    <w:p>
      <w:pPr>
        <w:pStyle w:val="Style311"/>
        <w:numPr>
          <w:ilvl w:val="4"/>
          <w:numId w:val="3"/>
        </w:numPr>
        <w:rPr/>
      </w:pPr>
      <w:r>
        <w:rPr/>
        <w:t>Milk</w:t>
      </w:r>
    </w:p>
    <w:p>
      <w:pPr>
        <w:pStyle w:val="Style311"/>
        <w:numPr>
          <w:ilvl w:val="4"/>
          <w:numId w:val="3"/>
        </w:numPr>
        <w:rPr/>
      </w:pPr>
      <w:r>
        <w:rPr/>
        <w:t>Molluscs</w:t>
      </w:r>
    </w:p>
    <w:p>
      <w:pPr>
        <w:pStyle w:val="Style311"/>
        <w:numPr>
          <w:ilvl w:val="4"/>
          <w:numId w:val="3"/>
        </w:numPr>
        <w:rPr/>
      </w:pPr>
      <w:r>
        <w:rPr/>
        <w:t xml:space="preserve">Nuts – almond, hazelnut, walnut, cashew nut, pecan nut, Brazil nut, pistachio nut, Macadamia nut and Queensland nut </w:t>
      </w:r>
    </w:p>
    <w:p>
      <w:pPr>
        <w:pStyle w:val="Style311"/>
        <w:numPr>
          <w:ilvl w:val="4"/>
          <w:numId w:val="3"/>
        </w:numPr>
        <w:rPr/>
      </w:pPr>
      <w:r>
        <w:rPr/>
        <w:t>Peanut</w:t>
      </w:r>
    </w:p>
    <w:p>
      <w:pPr>
        <w:pStyle w:val="Style311"/>
        <w:numPr>
          <w:ilvl w:val="4"/>
          <w:numId w:val="3"/>
        </w:numPr>
        <w:rPr/>
      </w:pPr>
      <w:r>
        <w:rPr/>
        <w:t>Soya</w:t>
      </w:r>
    </w:p>
    <w:p>
      <w:pPr>
        <w:pStyle w:val="Style311"/>
        <w:numPr>
          <w:ilvl w:val="4"/>
          <w:numId w:val="3"/>
        </w:numPr>
        <w:rPr/>
      </w:pPr>
      <w:r>
        <w:rPr/>
        <w:t>Sesame</w:t>
      </w:r>
    </w:p>
    <w:p>
      <w:pPr>
        <w:pStyle w:val="Style311"/>
        <w:numPr>
          <w:ilvl w:val="4"/>
          <w:numId w:val="3"/>
        </w:numPr>
        <w:rPr/>
      </w:pPr>
      <w:r>
        <w:rPr/>
        <w:t>Celery and celeriac</w:t>
      </w:r>
    </w:p>
    <w:p>
      <w:pPr>
        <w:pStyle w:val="Style311"/>
        <w:numPr>
          <w:ilvl w:val="4"/>
          <w:numId w:val="3"/>
        </w:numPr>
        <w:rPr/>
      </w:pPr>
      <w:r>
        <w:rPr/>
        <w:t>Mustard</w:t>
      </w:r>
    </w:p>
    <w:p>
      <w:pPr>
        <w:pStyle w:val="Style311"/>
        <w:numPr>
          <w:ilvl w:val="4"/>
          <w:numId w:val="3"/>
        </w:numPr>
        <w:rPr/>
      </w:pPr>
      <w:r>
        <w:rPr/>
        <w:t>Sulphur dioxide and sulphites</w:t>
      </w:r>
    </w:p>
    <w:p>
      <w:pPr>
        <w:pStyle w:val="Style21"/>
        <w:numPr>
          <w:ilvl w:val="2"/>
          <w:numId w:val="3"/>
        </w:numPr>
        <w:rPr/>
      </w:pPr>
      <w:r>
        <w:rPr/>
        <w:tab/>
        <w:t>For detailed information on the 14 allergen groups and exemptions the Association acknowledges that the full list in the Appendix must be used.</w:t>
      </w:r>
    </w:p>
    <w:p>
      <w:pPr>
        <w:pStyle w:val="ListParagraph"/>
        <w:spacing w:lineRule="auto" w:line="252" w:before="0" w:after="160"/>
        <w:ind w:hanging="0" w:left="1800" w:right="0"/>
        <w:contextualSpacing/>
        <w:rPr>
          <w:rFonts w:eastAsia="Arial"/>
        </w:rPr>
      </w:pPr>
      <w:r>
        <w:rPr>
          <w:rFonts w:eastAsia="Arial"/>
        </w:rPr>
        <w:t xml:space="preserve"> </w:t>
      </w:r>
    </w:p>
    <w:p>
      <w:pPr>
        <w:pStyle w:val="Style21"/>
        <w:numPr>
          <w:ilvl w:val="2"/>
          <w:numId w:val="3"/>
        </w:numPr>
        <w:rPr/>
      </w:pPr>
      <w:r>
        <w:rPr/>
        <w:tab/>
        <w:t>The responsibility for ensuring compliance with FIC and FIR lies with the Health &amp; Safety Committee.  They will ensure that:</w:t>
      </w:r>
    </w:p>
    <w:p>
      <w:pPr>
        <w:pStyle w:val="Style311"/>
        <w:numPr>
          <w:ilvl w:val="4"/>
          <w:numId w:val="3"/>
        </w:numPr>
        <w:rPr/>
      </w:pPr>
      <w:r>
        <w:rPr/>
        <w:t>when ingredients and processing aids are received from suppliers they are accompanied by detailed and accurate information on any of the listed allergens that are present in the ingredients or processing aids. The ingredients and processing aids will not be used for producing food and drinks until this allergen notification has been received;</w:t>
      </w:r>
    </w:p>
    <w:p>
      <w:pPr>
        <w:pStyle w:val="Style311"/>
        <w:numPr>
          <w:ilvl w:val="4"/>
          <w:numId w:val="3"/>
        </w:numPr>
        <w:rPr/>
      </w:pPr>
      <w:r>
        <w:rPr/>
        <w:t xml:space="preserve">all food or drink sent out for consumption is accompanied by information on the presence of any of the listed allergens and this information is provided to the consumer in accordance with the Regulations. If the allergen ingredients are to be provided in an ingredients list then, for instance, the relevant allergen will be highlighted in </w:t>
      </w:r>
      <w:r>
        <w:rPr>
          <w:b/>
        </w:rPr>
        <w:t xml:space="preserve">bold </w:t>
      </w:r>
      <w:r>
        <w:rPr/>
        <w:t>in the ingredients list or if the allergen information is being provided to the consumer orally; a clear written signpost will be provided as to where the allergen information can be found, such as asking a member of staff.</w:t>
      </w:r>
    </w:p>
    <w:p>
      <w:pPr>
        <w:pStyle w:val="Normal"/>
        <w:spacing w:lineRule="auto" w:line="252" w:before="0" w:after="160"/>
        <w:rPr/>
      </w:pPr>
      <w:r>
        <w:rPr/>
      </w:r>
    </w:p>
    <w:p>
      <w:pPr>
        <w:pStyle w:val="Style11"/>
        <w:numPr>
          <w:ilvl w:val="0"/>
          <w:numId w:val="3"/>
        </w:numPr>
        <w:rPr/>
      </w:pPr>
      <w:r>
        <w:rPr/>
        <w:t>Monitoring</w:t>
      </w:r>
    </w:p>
    <w:p>
      <w:pPr>
        <w:pStyle w:val="Style21"/>
        <w:numPr>
          <w:ilvl w:val="2"/>
          <w:numId w:val="3"/>
        </w:numPr>
        <w:rPr/>
      </w:pPr>
      <w:r>
        <w:rPr/>
        <w:tab/>
        <w:t xml:space="preserve">The </w:t>
      </w:r>
      <w:r>
        <w:rPr>
          <w:rFonts w:eastAsia="Times New Roman" w:cs="Arial"/>
          <w:color w:val="auto"/>
          <w:kern w:val="0"/>
          <w:sz w:val="22"/>
          <w:szCs w:val="20"/>
          <w:lang w:val="en-GB" w:eastAsia="zh-CN" w:bidi="ar-SA"/>
        </w:rPr>
        <w:t>Association</w:t>
      </w:r>
      <w:r>
        <w:rPr/>
        <w:t xml:space="preserve"> will actively monitor four key factors to ensure the proper management of the use of the listed allergens. </w:t>
      </w:r>
    </w:p>
    <w:p>
      <w:pPr>
        <w:pStyle w:val="Style311"/>
        <w:numPr>
          <w:ilvl w:val="4"/>
          <w:numId w:val="3"/>
        </w:numPr>
        <w:spacing w:before="0" w:after="0"/>
        <w:rPr/>
      </w:pPr>
      <w:r>
        <w:rPr>
          <w:rFonts w:eastAsia="Arial"/>
        </w:rPr>
        <w:t xml:space="preserve"> </w:t>
      </w:r>
      <w:r>
        <w:rPr>
          <w:b/>
          <w:bCs/>
          <w:color w:val="FF0000"/>
        </w:rPr>
        <w:t>Supplier information</w:t>
      </w:r>
    </w:p>
    <w:p>
      <w:pPr>
        <w:pStyle w:val="Normal"/>
        <w:spacing w:before="0" w:after="160"/>
        <w:ind w:hanging="0" w:left="2160" w:right="0"/>
        <w:rPr/>
      </w:pPr>
      <w:r>
        <w:rPr/>
        <w:t xml:space="preserve">The Goods Inwards controller Centre Manager will ensure that all products received are correctly labelled and show all of the listed allergens used. </w:t>
      </w:r>
    </w:p>
    <w:p>
      <w:pPr>
        <w:pStyle w:val="Normal"/>
        <w:spacing w:before="0" w:after="160"/>
        <w:ind w:hanging="0" w:left="2160" w:right="0"/>
        <w:rPr/>
      </w:pPr>
      <w:r>
        <w:rPr/>
        <w:t xml:space="preserve">In the absence of full details of any of the listed allergens used being provided by the supplier, supplier questionnaires will be used to check the allergenic status of the ingredients. </w:t>
      </w:r>
    </w:p>
    <w:p>
      <w:pPr>
        <w:pStyle w:val="Style311"/>
        <w:numPr>
          <w:ilvl w:val="4"/>
          <w:numId w:val="3"/>
        </w:numPr>
        <w:spacing w:before="0" w:after="0"/>
        <w:rPr/>
      </w:pPr>
      <w:r>
        <w:rPr/>
        <w:tab/>
      </w:r>
      <w:r>
        <w:rPr>
          <w:rFonts w:eastAsia="Times New Roman" w:cs="Arial"/>
          <w:b/>
          <w:bCs/>
          <w:color w:val="FF0000"/>
          <w:kern w:val="0"/>
          <w:sz w:val="22"/>
          <w:szCs w:val="20"/>
          <w:lang w:val="en-GB" w:eastAsia="zh-CN" w:bidi="ar-SA"/>
        </w:rPr>
        <w:t>Managing cross contamination</w:t>
      </w:r>
    </w:p>
    <w:p>
      <w:pPr>
        <w:pStyle w:val="Normal"/>
        <w:spacing w:before="0" w:after="160"/>
        <w:ind w:firstLine="11" w:left="2160" w:right="0"/>
        <w:rPr/>
      </w:pPr>
      <w:r>
        <w:rPr/>
        <w:t xml:space="preserve">The </w:t>
      </w:r>
      <w:r>
        <w:rPr>
          <w:rFonts w:eastAsia="Times New Roman" w:cs="Arial"/>
          <w:color w:val="auto"/>
          <w:kern w:val="0"/>
          <w:sz w:val="22"/>
          <w:szCs w:val="20"/>
          <w:lang w:val="en-GB" w:eastAsia="zh-CN" w:bidi="ar-SA"/>
        </w:rPr>
        <w:t>Association</w:t>
      </w:r>
      <w:r>
        <w:rPr/>
        <w:t xml:space="preserve"> will maintain rigid food hygiene standards throughout food preparation areas. </w:t>
      </w:r>
    </w:p>
    <w:p>
      <w:pPr>
        <w:pStyle w:val="Normal"/>
        <w:spacing w:before="0" w:after="120"/>
        <w:ind w:hanging="0" w:left="2160" w:right="0"/>
        <w:rPr/>
      </w:pPr>
      <w:r>
        <w:rPr/>
        <w:t xml:space="preserve">Where allergenic ingredients are packaged openly/loosely, they will be stored separately to reduce the risk of cross contamination. </w:t>
      </w:r>
    </w:p>
    <w:p>
      <w:pPr>
        <w:pStyle w:val="Normal"/>
        <w:spacing w:before="0" w:after="160"/>
        <w:ind w:firstLine="11" w:left="2149" w:right="0"/>
        <w:rPr/>
      </w:pPr>
      <w:r>
        <w:rPr/>
        <w:t xml:space="preserve">Physical segregation of allergenic ingredients within the production area at all times. </w:t>
      </w:r>
    </w:p>
    <w:p>
      <w:pPr>
        <w:pStyle w:val="Normal"/>
        <w:spacing w:before="0" w:after="160"/>
        <w:ind w:hanging="0" w:left="2149" w:right="0"/>
        <w:rPr/>
      </w:pPr>
      <w:r>
        <w:rPr/>
        <w:t xml:space="preserve">All food handlers employed will be trained in all areas of good food hygiene practice. </w:t>
      </w:r>
    </w:p>
    <w:p>
      <w:pPr>
        <w:pStyle w:val="Style311"/>
        <w:numPr>
          <w:ilvl w:val="4"/>
          <w:numId w:val="3"/>
        </w:numPr>
        <w:spacing w:before="0" w:after="0"/>
        <w:rPr/>
      </w:pPr>
      <w:r>
        <w:rPr/>
        <w:tab/>
      </w:r>
      <w:r>
        <w:rPr>
          <w:rFonts w:eastAsia="Times New Roman" w:cs="Arial"/>
          <w:b/>
          <w:bCs/>
          <w:color w:val="FF0000"/>
          <w:kern w:val="0"/>
          <w:sz w:val="22"/>
          <w:szCs w:val="20"/>
          <w:lang w:val="en-GB" w:eastAsia="zh-CN" w:bidi="ar-SA"/>
        </w:rPr>
        <w:t>Training</w:t>
      </w:r>
    </w:p>
    <w:p>
      <w:pPr>
        <w:pStyle w:val="Normal"/>
        <w:spacing w:lineRule="auto" w:line="252" w:before="0" w:after="120"/>
        <w:ind w:firstLine="11" w:left="2149" w:right="0"/>
        <w:rPr/>
      </w:pPr>
      <w:r>
        <w:fldChar w:fldCharType="begin">
          <w:ffData>
            <w:name w:val="Unnamed2"/>
            <w:enabled/>
            <w:calcOnExit w:val="0"/>
            <w:textInput/>
          </w:ffData>
        </w:fldChar>
      </w:r>
      <w:r>
        <w:rPr/>
        <w:instrText xml:space="preserve"> FORMTEXT </w:instrText>
      </w:r>
      <w:r>
        <w:rPr/>
      </w:r>
      <w:r>
        <w:rPr/>
        <w:fldChar w:fldCharType="separate"/>
      </w:r>
      <w:r>
        <w:rPr/>
      </w:r>
      <w:r>
        <w:rPr/>
      </w:r>
      <w:r>
        <w:rPr/>
        <w:fldChar w:fldCharType="end"/>
      </w:r>
      <w:r>
        <w:rPr>
          <w:lang w:val="en-GB" w:eastAsia="en-GB"/>
        </w:rPr>
        <w:t>All chefs hold or are working towards a basic food handling certificate</w:t>
      </w:r>
    </w:p>
    <w:p>
      <w:pPr>
        <w:pStyle w:val="Normal"/>
        <w:spacing w:lineRule="auto" w:line="252" w:before="0" w:after="120"/>
        <w:ind w:firstLine="11" w:left="2138" w:right="0"/>
        <w:rPr>
          <w:color w:val="000000"/>
        </w:rPr>
      </w:pPr>
      <w:r>
        <w:rPr>
          <w:color w:val="000000"/>
        </w:rPr>
        <w:t>All food handlers may hold or</w:t>
      </w:r>
      <w:r>
        <w:rPr>
          <w:color w:val="000000"/>
          <w:lang w:val="en-GB" w:eastAsia="en-GB"/>
        </w:rPr>
        <w:t xml:space="preserve"> work towards </w:t>
      </w:r>
      <w:r>
        <w:rPr>
          <w:color w:val="000000"/>
        </w:rPr>
        <w:t>a foundation certificate in food hygiene but there is no legal requirement to do so as long as they are adequately supervised whilst working.</w:t>
      </w:r>
    </w:p>
    <w:p>
      <w:pPr>
        <w:pStyle w:val="Normal"/>
        <w:spacing w:lineRule="auto" w:line="252" w:before="0" w:after="120"/>
        <w:ind w:hanging="0" w:left="2138" w:right="0"/>
        <w:rPr/>
      </w:pPr>
      <w:r>
        <w:rPr/>
        <w:t xml:space="preserve">All food handlers adhere to the HACCP (Hazard Analysis &amp; Critical Control Point) best practice food handling standards. </w:t>
      </w:r>
    </w:p>
    <w:p>
      <w:pPr>
        <w:pStyle w:val="Normal"/>
        <w:spacing w:lineRule="auto" w:line="252" w:before="0" w:after="120"/>
        <w:ind w:hanging="0" w:left="2138" w:right="0"/>
        <w:rPr/>
      </w:pPr>
      <w:r>
        <w:rPr/>
        <w:t xml:space="preserve">All staff are informed of the new rules concerning allergens and how to respond to consumer queries on allergen content. </w:t>
      </w:r>
    </w:p>
    <w:p>
      <w:pPr>
        <w:pStyle w:val="Style311"/>
        <w:numPr>
          <w:ilvl w:val="4"/>
          <w:numId w:val="3"/>
        </w:numPr>
        <w:spacing w:before="0" w:after="0"/>
        <w:rPr/>
      </w:pPr>
      <w:r>
        <w:rPr/>
        <w:tab/>
      </w:r>
      <w:r>
        <w:rPr>
          <w:rFonts w:eastAsia="Times New Roman" w:cs="Arial"/>
          <w:b/>
          <w:bCs/>
          <w:color w:val="FF0000"/>
          <w:kern w:val="0"/>
          <w:sz w:val="22"/>
          <w:szCs w:val="20"/>
          <w:lang w:val="en-GB" w:eastAsia="zh-CN" w:bidi="ar-SA"/>
        </w:rPr>
        <w:t>Communication where allergen information is provided orally</w:t>
      </w:r>
    </w:p>
    <w:p>
      <w:pPr>
        <w:pStyle w:val="Normal"/>
        <w:spacing w:lineRule="auto" w:line="252" w:before="0" w:after="120"/>
        <w:ind w:hanging="0" w:left="2160" w:right="0"/>
        <w:rPr/>
      </w:pPr>
      <w:r>
        <w:rPr/>
        <w:t xml:space="preserve">Staff will know at all times who is the nominated person(s) who is responsible for providing oral information to customers on the listed allergens present in the food. </w:t>
      </w:r>
    </w:p>
    <w:p>
      <w:pPr>
        <w:pStyle w:val="Normal"/>
        <w:spacing w:lineRule="auto" w:line="252" w:before="0" w:after="120"/>
        <w:ind w:hanging="0" w:left="2160" w:right="0"/>
        <w:rPr/>
      </w:pPr>
      <w:r>
        <w:rPr/>
        <w:t>Staff will be trained to explain to customers/final consumers what allergens (from the group of 14 listed allergens) are present in any food or drink served.</w:t>
      </w:r>
    </w:p>
    <w:p>
      <w:pPr>
        <w:pStyle w:val="Normal"/>
        <w:spacing w:lineRule="auto" w:line="252" w:before="0" w:after="120"/>
        <w:ind w:hanging="0" w:left="2149" w:right="0"/>
        <w:rPr/>
      </w:pPr>
      <w:r>
        <w:rPr/>
        <w:t>To ensure that the oral information is consistent and verifiable the allergen information will also be kept on ingredients information sheets/a chart/ in a recipe handbook/</w:t>
      </w:r>
      <w:r>
        <w:rPr>
          <w:rFonts w:eastAsia="Times New Roman" w:cs="Arial"/>
          <w:color w:val="auto"/>
          <w:kern w:val="0"/>
          <w:sz w:val="22"/>
          <w:szCs w:val="20"/>
          <w:lang w:val="en-GB" w:eastAsia="zh-CN" w:bidi="ar-SA"/>
        </w:rPr>
        <w:t>list</w:t>
      </w:r>
      <w:r>
        <w:rPr/>
        <w:t xml:space="preserve"> which is easily available for staff to refer to at all times. </w:t>
      </w:r>
    </w:p>
    <w:p>
      <w:pPr>
        <w:pStyle w:val="Normal"/>
        <w:spacing w:lineRule="auto" w:line="252" w:before="0" w:after="120"/>
        <w:ind w:hanging="0" w:left="2149" w:right="0"/>
        <w:rPr/>
      </w:pPr>
      <w:r>
        <w:rPr/>
        <w:t>A clearly visible written notice/menu/ticket or label must always be present at the point that the consumer chooses their food indicating that allergen information is available from a member of staff.</w:t>
      </w:r>
    </w:p>
    <w:p>
      <w:pPr>
        <w:pStyle w:val="Normal"/>
        <w:spacing w:lineRule="auto" w:line="252" w:before="0" w:after="120"/>
        <w:ind w:hanging="0" w:left="2149" w:right="0"/>
        <w:rPr/>
      </w:pPr>
      <w:r>
        <w:rPr/>
      </w:r>
    </w:p>
    <w:p>
      <w:pPr>
        <w:pStyle w:val="Style11"/>
        <w:numPr>
          <w:ilvl w:val="0"/>
          <w:numId w:val="0"/>
        </w:numPr>
        <w:ind w:hanging="709" w:left="709" w:right="0"/>
        <w:rPr/>
      </w:pPr>
      <w:r>
        <w:rPr/>
      </w:r>
    </w:p>
    <w:p>
      <w:pPr>
        <w:pStyle w:val="Normal"/>
        <w:jc w:val="both"/>
        <w:rPr/>
      </w:pPr>
      <w:r>
        <w:rPr>
          <w:rFonts w:cs="Liberation Serif;Times New Roman" w:ascii="Liberation Serif;Times New Roman" w:hAnsi="Liberation Serif;Times New Roman"/>
          <w:lang w:bidi="en-GB"/>
        </w:rPr>
        <w:t xml:space="preserve">This Allergen Policy will be reviewed annually and updated as </w:t>
      </w:r>
      <w:r>
        <w:rPr>
          <w:rFonts w:eastAsia="Times New Roman" w:cs="Liberation Serif;Times New Roman" w:ascii="Liberation Serif;Times New Roman" w:hAnsi="Liberation Serif;Times New Roman"/>
          <w:color w:val="auto"/>
          <w:kern w:val="0"/>
          <w:sz w:val="22"/>
          <w:szCs w:val="20"/>
          <w:lang w:val="en-GB" w:eastAsia="zh-CN" w:bidi="en-GB"/>
        </w:rPr>
        <w:t>necessary. The Trustees Management Committe</w:t>
      </w:r>
      <w:r>
        <w:rPr>
          <w:rFonts w:cs="Liberation Serif;Times New Roman" w:ascii="Liberation Serif;Times New Roman" w:hAnsi="Liberation Serif;Times New Roman"/>
          <w:lang w:bidi="en-GB"/>
        </w:rPr>
        <w:t xml:space="preserve">e endorses this Policy and </w:t>
      </w:r>
      <w:r>
        <w:rPr>
          <w:rFonts w:eastAsia="NSimSun" w:cs="Liberation Serif;Times New Roman" w:ascii="Liberation Serif;Times New Roman" w:hAnsi="Liberation Serif;Times New Roman"/>
          <w:color w:val="auto"/>
          <w:kern w:val="2"/>
          <w:sz w:val="24"/>
          <w:szCs w:val="24"/>
          <w:lang w:val="en-GB" w:eastAsia="zh-CN" w:bidi="en-GB"/>
        </w:rPr>
        <w:t>is</w:t>
      </w:r>
      <w:r>
        <w:rPr>
          <w:rFonts w:cs="Liberation Serif;Times New Roman" w:ascii="Liberation Serif;Times New Roman" w:hAnsi="Liberation Serif;Times New Roman"/>
          <w:lang w:bidi="en-GB"/>
        </w:rPr>
        <w:t xml:space="preserve"> fully committed to its implementation.</w:t>
      </w:r>
    </w:p>
    <w:p>
      <w:pPr>
        <w:pStyle w:val="Normal"/>
        <w:jc w:val="both"/>
        <w:rPr>
          <w:rFonts w:ascii="Liberation Serif;Times New Roman" w:hAnsi="Liberation Serif;Times New Roman" w:cs="Liberation Serif;Times New Roman"/>
          <w:lang w:bidi="en-GB"/>
        </w:rPr>
      </w:pPr>
      <w:r>
        <w:rPr>
          <w:rFonts w:cs="Liberation Serif;Times New Roman" w:ascii="Liberation Serif;Times New Roman" w:hAnsi="Liberation Serif;Times New Roman"/>
          <w:lang w:bidi="en-GB"/>
        </w:rPr>
      </w:r>
    </w:p>
    <w:p>
      <w:pPr>
        <w:pStyle w:val="Normal"/>
        <w:jc w:val="both"/>
        <w:rPr>
          <w:rFonts w:ascii="Liberation Serif;Times New Roman" w:hAnsi="Liberation Serif;Times New Roman" w:cs="Liberation Serif;Times New Roman"/>
          <w:lang w:bidi="en-GB"/>
        </w:rPr>
      </w:pPr>
      <w:r>
        <w:rPr>
          <w:rFonts w:cs="Liberation Serif;Times New Roman" w:ascii="Liberation Serif;Times New Roman" w:hAnsi="Liberation Serif;Times New Roman"/>
          <w:lang w:bidi="en-GB"/>
        </w:rPr>
      </w:r>
    </w:p>
    <w:p>
      <w:pPr>
        <w:pStyle w:val="Normal"/>
        <w:rPr>
          <w:rFonts w:ascii="Liberation Serif;Times New Roman" w:hAnsi="Liberation Serif;Times New Roman" w:cs="Liberation Serif;Times New Roman"/>
          <w:b/>
          <w:szCs w:val="22"/>
          <w:lang w:val="en-US" w:bidi="en-GB"/>
        </w:rPr>
      </w:pPr>
      <w:r>
        <w:rPr>
          <w:rFonts w:cs="Liberation Serif;Times New Roman" w:ascii="Liberation Serif;Times New Roman" w:hAnsi="Liberation Serif;Times New Roman"/>
          <w:b/>
          <w:szCs w:val="22"/>
          <w:lang w:val="en-US" w:bidi="en-GB"/>
        </w:rPr>
        <w:t>NOTES:</w:t>
      </w:r>
    </w:p>
    <w:p>
      <w:pPr>
        <w:pStyle w:val="Normal"/>
        <w:rPr>
          <w:rFonts w:cs="Arial"/>
          <w:b/>
          <w:szCs w:val="22"/>
        </w:rPr>
      </w:pPr>
      <w:r>
        <w:rPr>
          <w:rFonts w:cs="Arial"/>
          <w:b/>
          <w:szCs w:val="22"/>
        </w:rPr>
      </w:r>
    </w:p>
    <w:p>
      <w:pPr>
        <w:pStyle w:val="Normal"/>
        <w:rPr>
          <w:rFonts w:cs="Arial"/>
          <w:b/>
          <w:szCs w:val="22"/>
        </w:rPr>
      </w:pPr>
      <w:r>
        <w:rPr>
          <w:rFonts w:cs="Arial"/>
          <w:b/>
          <w:szCs w:val="22"/>
        </w:rPr>
        <w:t>This policy has been approved &amp; authorised by:</w:t>
        <w:br/>
      </w:r>
    </w:p>
    <w:tbl>
      <w:tblPr>
        <w:tblW w:w="9240" w:type="dxa"/>
        <w:jc w:val="left"/>
        <w:tblInd w:w="175" w:type="dxa"/>
        <w:tblLayout w:type="fixed"/>
        <w:tblCellMar>
          <w:top w:w="0" w:type="dxa"/>
          <w:left w:w="108" w:type="dxa"/>
          <w:bottom w:w="0" w:type="dxa"/>
          <w:right w:w="108" w:type="dxa"/>
        </w:tblCellMar>
      </w:tblPr>
      <w:tblGrid>
        <w:gridCol w:w="2443"/>
        <w:gridCol w:w="6797"/>
      </w:tblGrid>
      <w:tr>
        <w:trPr/>
        <w:tc>
          <w:tcPr>
            <w:tcW w:w="2443" w:type="dxa"/>
            <w:tcBorders>
              <w:top w:val="single" w:sz="2" w:space="0" w:color="000000"/>
              <w:left w:val="single" w:sz="2" w:space="0" w:color="000000"/>
              <w:bottom w:val="single" w:sz="2" w:space="0" w:color="000000"/>
            </w:tcBorders>
          </w:tcPr>
          <w:p>
            <w:pPr>
              <w:pStyle w:val="Heading2NotBold"/>
              <w:widowControl w:val="false"/>
              <w:spacing w:lineRule="auto" w:line="240" w:before="57" w:after="0"/>
              <w:ind w:hanging="0" w:left="0" w:right="0"/>
              <w:rPr>
                <w:b/>
                <w:szCs w:val="22"/>
              </w:rPr>
            </w:pPr>
            <w:r>
              <w:rPr>
                <w:b/>
                <w:szCs w:val="22"/>
              </w:rPr>
              <w:t>Name:</w:t>
            </w:r>
          </w:p>
        </w:tc>
        <w:tc>
          <w:tcPr>
            <w:tcW w:w="6797" w:type="dxa"/>
            <w:tcBorders>
              <w:top w:val="single" w:sz="2" w:space="0" w:color="000000"/>
              <w:left w:val="single" w:sz="2" w:space="0" w:color="000000"/>
              <w:bottom w:val="single" w:sz="2" w:space="0" w:color="000000"/>
              <w:right w:val="single" w:sz="2" w:space="0" w:color="000000"/>
            </w:tcBorders>
          </w:tcPr>
          <w:p>
            <w:pPr>
              <w:pStyle w:val="Heading2NotBold"/>
              <w:widowControl w:val="false"/>
              <w:spacing w:lineRule="auto" w:line="240" w:before="57" w:after="0"/>
              <w:ind w:hanging="0" w:left="0" w:right="0"/>
              <w:rPr>
                <w:szCs w:val="22"/>
              </w:rPr>
            </w:pPr>
            <w:r>
              <w:rPr>
                <w:szCs w:val="22"/>
              </w:rPr>
              <w:t>Health &amp; Safety Committee</w:t>
            </w:r>
          </w:p>
        </w:tc>
      </w:tr>
      <w:tr>
        <w:trPr/>
        <w:tc>
          <w:tcPr>
            <w:tcW w:w="2443" w:type="dxa"/>
            <w:tcBorders>
              <w:left w:val="single" w:sz="2" w:space="0" w:color="000000"/>
              <w:bottom w:val="single" w:sz="2" w:space="0" w:color="000000"/>
            </w:tcBorders>
          </w:tcPr>
          <w:p>
            <w:pPr>
              <w:pStyle w:val="Heading2NotBold"/>
              <w:widowControl w:val="false"/>
              <w:spacing w:lineRule="auto" w:line="240" w:before="57" w:after="0"/>
              <w:ind w:hanging="0" w:left="0" w:right="0"/>
              <w:rPr>
                <w:b/>
                <w:szCs w:val="22"/>
              </w:rPr>
            </w:pPr>
            <w:r>
              <w:rPr>
                <w:b/>
                <w:szCs w:val="22"/>
              </w:rPr>
              <w:t>Position:</w:t>
            </w:r>
          </w:p>
        </w:tc>
        <w:tc>
          <w:tcPr>
            <w:tcW w:w="6797" w:type="dxa"/>
            <w:tcBorders>
              <w:left w:val="single" w:sz="2" w:space="0" w:color="000000"/>
              <w:bottom w:val="single" w:sz="2" w:space="0" w:color="000000"/>
              <w:right w:val="single" w:sz="2" w:space="0" w:color="000000"/>
            </w:tcBorders>
          </w:tcPr>
          <w:p>
            <w:pPr>
              <w:pStyle w:val="Normal"/>
              <w:widowControl w:val="false"/>
              <w:bidi w:val="0"/>
              <w:spacing w:lineRule="auto" w:line="240" w:before="57" w:after="0"/>
              <w:ind w:hanging="0" w:left="0" w:right="0"/>
              <w:jc w:val="left"/>
              <w:rPr>
                <w:rFonts w:eastAsia="Arial" w:cs="Arial"/>
                <w:color w:val="000000"/>
                <w:spacing w:val="0"/>
                <w:sz w:val="22"/>
                <w:shd w:fill="auto" w:val="clear"/>
              </w:rPr>
            </w:pPr>
            <w:r>
              <w:rPr>
                <w:rFonts w:eastAsia="Arial" w:cs="Arial"/>
                <w:color w:val="000000"/>
                <w:spacing w:val="0"/>
                <w:sz w:val="22"/>
                <w:shd w:fill="auto" w:val="clear"/>
              </w:rPr>
              <w:t>Chair of committee</w:t>
            </w:r>
          </w:p>
        </w:tc>
      </w:tr>
      <w:tr>
        <w:trPr>
          <w:trHeight w:val="385" w:hRule="atLeast"/>
        </w:trPr>
        <w:tc>
          <w:tcPr>
            <w:tcW w:w="2443" w:type="dxa"/>
            <w:tcBorders>
              <w:left w:val="single" w:sz="2" w:space="0" w:color="000000"/>
              <w:bottom w:val="single" w:sz="6" w:space="0" w:color="000000"/>
            </w:tcBorders>
          </w:tcPr>
          <w:p>
            <w:pPr>
              <w:pStyle w:val="Heading2NotBold"/>
              <w:widowControl w:val="false"/>
              <w:spacing w:lineRule="auto" w:line="240" w:before="57" w:after="0"/>
              <w:ind w:hanging="0" w:left="0" w:right="0"/>
              <w:rPr>
                <w:b/>
                <w:szCs w:val="22"/>
              </w:rPr>
            </w:pPr>
            <w:r>
              <w:rPr>
                <w:b/>
                <w:szCs w:val="22"/>
              </w:rPr>
              <w:t>Date:</w:t>
            </w:r>
          </w:p>
        </w:tc>
        <w:tc>
          <w:tcPr>
            <w:tcW w:w="6797" w:type="dxa"/>
            <w:tcBorders>
              <w:left w:val="single" w:sz="2" w:space="0" w:color="000000"/>
              <w:bottom w:val="single" w:sz="6" w:space="0" w:color="000000"/>
              <w:right w:val="single" w:sz="2" w:space="0" w:color="000000"/>
            </w:tcBorders>
          </w:tcPr>
          <w:p>
            <w:pPr>
              <w:pStyle w:val="Normal"/>
              <w:widowControl w:val="false"/>
              <w:bidi w:val="0"/>
              <w:spacing w:lineRule="auto" w:line="240" w:before="57" w:after="0"/>
              <w:ind w:hanging="0" w:left="0" w:right="0"/>
              <w:jc w:val="left"/>
              <w:rPr/>
            </w:pPr>
            <w:r>
              <w:rPr>
                <w:rFonts w:eastAsia="Arial" w:cs="Arial"/>
                <w:color w:val="000000"/>
                <w:spacing w:val="0"/>
                <w:sz w:val="22"/>
                <w:shd w:fill="auto" w:val="clear"/>
              </w:rPr>
              <w:t>01/01/2020</w:t>
            </w:r>
          </w:p>
        </w:tc>
      </w:tr>
    </w:tbl>
    <w:p>
      <w:pPr>
        <w:pStyle w:val="Normal"/>
        <w:numPr>
          <w:ilvl w:val="0"/>
          <w:numId w:val="0"/>
        </w:numPr>
        <w:ind w:hanging="0" w:left="0" w:right="0"/>
        <w:rPr/>
      </w:pPr>
      <w:r>
        <w:rPr/>
      </w:r>
    </w:p>
    <w:tbl>
      <w:tblPr>
        <w:tblW w:w="9300" w:type="dxa"/>
        <w:jc w:val="left"/>
        <w:tblInd w:w="158" w:type="dxa"/>
        <w:tblLayout w:type="fixed"/>
        <w:tblCellMar>
          <w:top w:w="0" w:type="dxa"/>
          <w:left w:w="108" w:type="dxa"/>
          <w:bottom w:w="0" w:type="dxa"/>
          <w:right w:w="108" w:type="dxa"/>
        </w:tblCellMar>
      </w:tblPr>
      <w:tblGrid>
        <w:gridCol w:w="2444"/>
        <w:gridCol w:w="1351"/>
        <w:gridCol w:w="5505"/>
      </w:tblGrid>
      <w:tr>
        <w:trPr/>
        <w:tc>
          <w:tcPr>
            <w:tcW w:w="2444" w:type="dxa"/>
            <w:tcBorders>
              <w:top w:val="single" w:sz="2" w:space="0" w:color="000000"/>
              <w:left w:val="single" w:sz="2" w:space="0" w:color="000000"/>
              <w:bottom w:val="single" w:sz="2" w:space="0" w:color="000000"/>
            </w:tcBorders>
          </w:tcPr>
          <w:p>
            <w:pPr>
              <w:pStyle w:val="Normal"/>
              <w:widowControl w:val="false"/>
              <w:overflowPunct w:val="true"/>
              <w:spacing w:before="57" w:after="57"/>
              <w:jc w:val="left"/>
              <w:textAlignment w:val="baseline"/>
              <w:rPr>
                <w:rFonts w:ascii="Arial" w:hAnsi="Arial" w:eastAsia="Times New Roman" w:cs="Arial"/>
                <w:b/>
                <w:bCs/>
                <w:sz w:val="22"/>
                <w:szCs w:val="22"/>
                <w:lang w:eastAsia="en-GB" w:bidi="en-GB"/>
              </w:rPr>
            </w:pPr>
            <w:r>
              <w:rPr>
                <w:rFonts w:eastAsia="Times New Roman" w:cs="Arial"/>
                <w:b/>
                <w:bCs/>
                <w:sz w:val="22"/>
                <w:szCs w:val="22"/>
                <w:lang w:eastAsia="en-GB" w:bidi="en-GB"/>
              </w:rPr>
              <w:t>Last Review</w:t>
            </w:r>
          </w:p>
        </w:tc>
        <w:tc>
          <w:tcPr>
            <w:tcW w:w="1351" w:type="dxa"/>
            <w:tcBorders>
              <w:top w:val="single" w:sz="2" w:space="0" w:color="000000"/>
              <w:left w:val="single" w:sz="2" w:space="0" w:color="000000"/>
              <w:bottom w:val="single" w:sz="2" w:space="0" w:color="000000"/>
            </w:tcBorders>
          </w:tcPr>
          <w:p>
            <w:pPr>
              <w:pStyle w:val="Normal"/>
              <w:widowControl w:val="false"/>
              <w:overflowPunct w:val="false"/>
              <w:snapToGrid w:val="false"/>
              <w:spacing w:before="57" w:after="57"/>
              <w:jc w:val="both"/>
              <w:textAlignment w:val="baseline"/>
              <w:rPr>
                <w:rFonts w:ascii="Arial" w:hAnsi="Arial" w:eastAsia="Times New Roman" w:cs="Liberation Serif;Times New Roman"/>
                <w:b w:val="false"/>
                <w:bCs w:val="false"/>
                <w:color w:val="auto"/>
                <w:sz w:val="22"/>
                <w:szCs w:val="22"/>
                <w:lang w:val="en-GB" w:eastAsia="en-GB" w:bidi="en-GB"/>
              </w:rPr>
            </w:pPr>
            <w:r>
              <w:rPr>
                <w:rFonts w:eastAsia="Times New Roman" w:cs="Arial"/>
                <w:b w:val="false"/>
                <w:bCs w:val="false"/>
                <w:color w:val="auto"/>
                <w:sz w:val="22"/>
                <w:szCs w:val="22"/>
                <w:lang w:val="en-GB" w:eastAsia="en-GB" w:bidi="en-GB"/>
              </w:rPr>
              <w:t>20/02/2025</w:t>
            </w:r>
          </w:p>
        </w:tc>
        <w:tc>
          <w:tcPr>
            <w:tcW w:w="5505" w:type="dxa"/>
            <w:tcBorders>
              <w:top w:val="single" w:sz="2" w:space="0" w:color="000000"/>
              <w:left w:val="single" w:sz="2" w:space="0" w:color="000000"/>
              <w:bottom w:val="single" w:sz="2" w:space="0" w:color="000000"/>
              <w:right w:val="single" w:sz="2" w:space="0" w:color="000000"/>
            </w:tcBorders>
          </w:tcPr>
          <w:p>
            <w:pPr>
              <w:pStyle w:val="Normal"/>
              <w:widowControl w:val="false"/>
              <w:overflowPunct w:val="true"/>
              <w:spacing w:before="57" w:after="57"/>
              <w:jc w:val="both"/>
              <w:textAlignment w:val="baseline"/>
              <w:rPr>
                <w:rFonts w:ascii="Arial" w:hAnsi="Arial" w:eastAsia="Times New Roman" w:cs="Arial"/>
                <w:bCs/>
                <w:color w:val="auto"/>
                <w:kern w:val="2"/>
                <w:sz w:val="22"/>
                <w:szCs w:val="22"/>
                <w:lang w:val="en-GB" w:eastAsia="en-GB" w:bidi="en-GB"/>
              </w:rPr>
            </w:pPr>
            <w:r>
              <w:rPr>
                <w:rFonts w:eastAsia="Times New Roman" w:cs="Arial"/>
                <w:bCs/>
                <w:color w:val="auto"/>
                <w:kern w:val="2"/>
                <w:sz w:val="22"/>
                <w:szCs w:val="22"/>
                <w:lang w:val="en-GB" w:eastAsia="en-GB" w:bidi="en-GB"/>
              </w:rPr>
              <w:t>FMYCA Policy subcommittee (Peter Sykes)</w:t>
            </w:r>
          </w:p>
        </w:tc>
      </w:tr>
      <w:tr>
        <w:trPr>
          <w:trHeight w:val="284" w:hRule="atLeast"/>
        </w:trPr>
        <w:tc>
          <w:tcPr>
            <w:tcW w:w="2444" w:type="dxa"/>
            <w:tcBorders>
              <w:left w:val="single" w:sz="2" w:space="0" w:color="000000"/>
              <w:bottom w:val="single" w:sz="2" w:space="0" w:color="000000"/>
            </w:tcBorders>
          </w:tcPr>
          <w:p>
            <w:pPr>
              <w:pStyle w:val="Normal"/>
              <w:widowControl w:val="false"/>
              <w:overflowPunct w:val="true"/>
              <w:spacing w:before="57" w:after="57"/>
              <w:jc w:val="left"/>
              <w:textAlignment w:val="baseline"/>
              <w:rPr>
                <w:rFonts w:ascii="Arial" w:hAnsi="Arial" w:eastAsia="Times New Roman" w:cs="Arial"/>
                <w:b/>
                <w:bCs/>
                <w:sz w:val="22"/>
                <w:szCs w:val="22"/>
                <w:lang w:eastAsia="en-GB" w:bidi="en-GB"/>
              </w:rPr>
            </w:pPr>
            <w:r>
              <w:rPr>
                <w:rFonts w:eastAsia="Times New Roman" w:cs="Arial"/>
                <w:b/>
                <w:bCs/>
                <w:sz w:val="22"/>
                <w:szCs w:val="22"/>
                <w:lang w:eastAsia="en-GB" w:bidi="en-GB"/>
              </w:rPr>
              <w:t>Last Ratification</w:t>
            </w:r>
          </w:p>
        </w:tc>
        <w:tc>
          <w:tcPr>
            <w:tcW w:w="1351" w:type="dxa"/>
            <w:tcBorders>
              <w:left w:val="single" w:sz="2" w:space="0" w:color="000000"/>
              <w:bottom w:val="single" w:sz="2" w:space="0" w:color="000000"/>
            </w:tcBorders>
          </w:tcPr>
          <w:p>
            <w:pPr>
              <w:pStyle w:val="Normal"/>
              <w:widowControl w:val="false"/>
              <w:overflowPunct w:val="false"/>
              <w:snapToGrid w:val="false"/>
              <w:spacing w:before="57" w:after="57"/>
              <w:jc w:val="both"/>
              <w:textAlignment w:val="baseline"/>
              <w:rPr>
                <w:rFonts w:ascii="Arial" w:hAnsi="Arial" w:eastAsia="Times New Roman" w:cs="Liberation Serif;Times New Roman"/>
                <w:b w:val="false"/>
                <w:bCs w:val="false"/>
                <w:color w:val="auto"/>
                <w:sz w:val="22"/>
                <w:szCs w:val="22"/>
                <w:lang w:val="en-GB" w:eastAsia="en-GB" w:bidi="en-GB"/>
              </w:rPr>
            </w:pPr>
            <w:r>
              <w:rPr>
                <w:rFonts w:eastAsia="Times New Roman" w:cs="Arial"/>
                <w:b w:val="false"/>
                <w:bCs w:val="false"/>
                <w:color w:val="auto"/>
                <w:sz w:val="22"/>
                <w:szCs w:val="22"/>
                <w:lang w:val="en-GB" w:eastAsia="en-GB" w:bidi="en-GB"/>
              </w:rPr>
              <w:t>27/03/2025</w:t>
            </w:r>
          </w:p>
        </w:tc>
        <w:tc>
          <w:tcPr>
            <w:tcW w:w="5505" w:type="dxa"/>
            <w:tcBorders>
              <w:left w:val="single" w:sz="2" w:space="0" w:color="000000"/>
              <w:bottom w:val="single" w:sz="2" w:space="0" w:color="000000"/>
              <w:right w:val="single" w:sz="2" w:space="0" w:color="000000"/>
            </w:tcBorders>
          </w:tcPr>
          <w:p>
            <w:pPr>
              <w:pStyle w:val="Normal"/>
              <w:widowControl w:val="false"/>
              <w:overflowPunct w:val="true"/>
              <w:spacing w:before="57" w:after="57"/>
              <w:jc w:val="both"/>
              <w:textAlignment w:val="baseline"/>
              <w:rPr>
                <w:rFonts w:ascii="Arial" w:hAnsi="Arial" w:eastAsia="Times New Roman" w:cs="Arial"/>
                <w:bCs/>
                <w:color w:val="auto"/>
                <w:kern w:val="2"/>
                <w:sz w:val="22"/>
                <w:szCs w:val="22"/>
                <w:lang w:val="en-GB" w:eastAsia="en-GB" w:bidi="en-GB"/>
              </w:rPr>
            </w:pPr>
            <w:r>
              <w:rPr>
                <w:rFonts w:eastAsia="Times New Roman" w:cs="Arial"/>
                <w:bCs/>
                <w:color w:val="auto"/>
                <w:kern w:val="2"/>
                <w:sz w:val="22"/>
                <w:szCs w:val="22"/>
                <w:lang w:val="en-GB" w:eastAsia="en-GB" w:bidi="en-GB"/>
              </w:rPr>
              <w:t>FMYCA Management committee (</w:t>
            </w:r>
            <w:r>
              <w:rPr>
                <w:rFonts w:eastAsia="Times New Roman" w:cs="Arial"/>
                <w:b w:val="false"/>
                <w:bCs w:val="false"/>
                <w:color w:val="auto"/>
                <w:kern w:val="2"/>
                <w:position w:val="0"/>
                <w:sz w:val="22"/>
                <w:szCs w:val="22"/>
                <w:vertAlign w:val="baseline"/>
                <w:lang w:val="en-US" w:eastAsia="en-GB" w:bidi="en-GB"/>
              </w:rPr>
              <w:t xml:space="preserve">Chair - </w:t>
            </w:r>
            <w:r>
              <w:rPr>
                <w:rFonts w:eastAsia="Times New Roman" w:cs="Arial"/>
                <w:bCs/>
                <w:color w:val="auto"/>
                <w:kern w:val="2"/>
                <w:sz w:val="22"/>
                <w:szCs w:val="22"/>
                <w:lang w:val="en-GB" w:eastAsia="en-GB" w:bidi="en-GB"/>
              </w:rPr>
              <w:t>Ken Gates)</w:t>
            </w:r>
          </w:p>
        </w:tc>
      </w:tr>
      <w:tr>
        <w:trPr>
          <w:trHeight w:val="284" w:hRule="atLeast"/>
        </w:trPr>
        <w:tc>
          <w:tcPr>
            <w:tcW w:w="2444" w:type="dxa"/>
            <w:tcBorders>
              <w:left w:val="single" w:sz="2" w:space="0" w:color="000000"/>
              <w:bottom w:val="single" w:sz="2" w:space="0" w:color="000000"/>
            </w:tcBorders>
          </w:tcPr>
          <w:p>
            <w:pPr>
              <w:pStyle w:val="Normal"/>
              <w:widowControl w:val="false"/>
              <w:overflowPunct w:val="true"/>
              <w:spacing w:before="57" w:after="57"/>
              <w:jc w:val="left"/>
              <w:textAlignment w:val="baseline"/>
              <w:rPr>
                <w:rFonts w:ascii="Arial" w:hAnsi="Arial" w:eastAsia="Times New Roman" w:cs="Arial"/>
                <w:b/>
                <w:bCs/>
                <w:sz w:val="22"/>
                <w:szCs w:val="22"/>
                <w:lang w:eastAsia="en-GB" w:bidi="en-GB"/>
              </w:rPr>
            </w:pPr>
            <w:r>
              <w:rPr>
                <w:rFonts w:eastAsia="Times New Roman" w:cs="Arial"/>
                <w:b/>
                <w:bCs/>
                <w:sz w:val="22"/>
                <w:szCs w:val="22"/>
                <w:lang w:eastAsia="en-GB" w:bidi="en-GB"/>
              </w:rPr>
              <w:t>Current Review</w:t>
            </w:r>
          </w:p>
        </w:tc>
        <w:tc>
          <w:tcPr>
            <w:tcW w:w="1351" w:type="dxa"/>
            <w:tcBorders>
              <w:left w:val="single" w:sz="2" w:space="0" w:color="000000"/>
              <w:bottom w:val="single" w:sz="2" w:space="0" w:color="000000"/>
            </w:tcBorders>
          </w:tcPr>
          <w:p>
            <w:pPr>
              <w:pStyle w:val="Normal"/>
              <w:widowControl w:val="false"/>
              <w:overflowPunct w:val="false"/>
              <w:snapToGrid w:val="false"/>
              <w:spacing w:before="57" w:after="57"/>
              <w:jc w:val="both"/>
              <w:textAlignment w:val="baseline"/>
              <w:rPr>
                <w:rFonts w:ascii="Arial" w:hAnsi="Arial" w:eastAsia="Times New Roman" w:cs="Liberation Serif;Times New Roman"/>
                <w:b w:val="false"/>
                <w:bCs w:val="false"/>
                <w:color w:val="auto"/>
                <w:sz w:val="22"/>
                <w:szCs w:val="22"/>
                <w:lang w:val="en-GB" w:eastAsia="en-GB" w:bidi="en-GB"/>
              </w:rPr>
            </w:pPr>
            <w:r>
              <w:rPr>
                <w:rFonts w:eastAsia="Times New Roman" w:cs="Arial"/>
                <w:b w:val="false"/>
                <w:bCs w:val="false"/>
                <w:color w:val="auto"/>
                <w:sz w:val="22"/>
                <w:szCs w:val="22"/>
                <w:lang w:val="en-GB" w:eastAsia="en-GB" w:bidi="en-GB"/>
              </w:rPr>
              <w:t>11/03/2026</w:t>
            </w:r>
          </w:p>
        </w:tc>
        <w:tc>
          <w:tcPr>
            <w:tcW w:w="5505" w:type="dxa"/>
            <w:tcBorders>
              <w:left w:val="single" w:sz="2" w:space="0" w:color="000000"/>
              <w:bottom w:val="single" w:sz="2" w:space="0" w:color="000000"/>
              <w:right w:val="single" w:sz="2" w:space="0" w:color="000000"/>
            </w:tcBorders>
          </w:tcPr>
          <w:p>
            <w:pPr>
              <w:pStyle w:val="Normal"/>
              <w:widowControl w:val="false"/>
              <w:overflowPunct w:val="false"/>
              <w:snapToGrid w:val="false"/>
              <w:spacing w:before="57" w:after="57"/>
              <w:jc w:val="both"/>
              <w:textAlignment w:val="baseline"/>
              <w:rPr>
                <w:rFonts w:ascii="Arial" w:hAnsi="Arial" w:eastAsia="Times New Roman" w:cs="Liberation Serif;Times New Roman"/>
                <w:b w:val="false"/>
                <w:bCs w:val="false"/>
                <w:color w:val="auto"/>
                <w:sz w:val="22"/>
                <w:szCs w:val="22"/>
                <w:lang w:val="en-GB" w:eastAsia="en-GB" w:bidi="en-GB"/>
              </w:rPr>
            </w:pPr>
            <w:r>
              <w:rPr>
                <w:rFonts w:eastAsia="Times New Roman" w:cs="Arial"/>
                <w:b w:val="false"/>
                <w:bCs/>
                <w:color w:val="auto"/>
                <w:kern w:val="2"/>
                <w:sz w:val="22"/>
                <w:szCs w:val="22"/>
                <w:lang w:val="en-GB" w:eastAsia="en-GB" w:bidi="en-GB"/>
              </w:rPr>
              <w:t>FMYCA</w:t>
            </w:r>
            <w:r>
              <w:rPr>
                <w:rFonts w:eastAsia="Times New Roman" w:cs="Arial"/>
                <w:b w:val="false"/>
                <w:bCs w:val="false"/>
                <w:color w:val="auto"/>
                <w:sz w:val="22"/>
                <w:szCs w:val="22"/>
                <w:lang w:val="en-GB" w:eastAsia="en-GB" w:bidi="en-GB"/>
              </w:rPr>
              <w:t xml:space="preserve"> Policy</w:t>
            </w:r>
            <w:r>
              <w:rPr>
                <w:rFonts w:eastAsia="Times New Roman" w:cs="Arial"/>
                <w:b/>
                <w:bCs/>
                <w:color w:val="auto"/>
                <w:sz w:val="22"/>
                <w:szCs w:val="22"/>
                <w:lang w:val="en-GB" w:eastAsia="en-GB" w:bidi="en-GB"/>
              </w:rPr>
              <w:t xml:space="preserve"> </w:t>
            </w:r>
            <w:r>
              <w:rPr>
                <w:rFonts w:eastAsia="Times New Roman" w:cs="Arial"/>
                <w:b w:val="false"/>
                <w:bCs w:val="false"/>
                <w:color w:val="auto"/>
                <w:sz w:val="22"/>
                <w:szCs w:val="22"/>
                <w:lang w:val="en-GB" w:eastAsia="en-GB" w:bidi="en-GB"/>
              </w:rPr>
              <w:t xml:space="preserve">subcommittee </w:t>
            </w:r>
            <w:r>
              <w:rPr>
                <w:rFonts w:eastAsia="Times New Roman" w:cs="Arial"/>
                <w:b w:val="false"/>
                <w:bCs/>
                <w:color w:val="auto"/>
                <w:kern w:val="2"/>
                <w:sz w:val="22"/>
                <w:szCs w:val="22"/>
                <w:lang w:val="en-GB" w:eastAsia="en-GB" w:bidi="en-GB"/>
              </w:rPr>
              <w:t>(Peter Sykes)</w:t>
            </w:r>
          </w:p>
        </w:tc>
      </w:tr>
      <w:tr>
        <w:trPr>
          <w:trHeight w:val="284" w:hRule="atLeast"/>
        </w:trPr>
        <w:tc>
          <w:tcPr>
            <w:tcW w:w="2444" w:type="dxa"/>
            <w:tcBorders>
              <w:left w:val="single" w:sz="2" w:space="0" w:color="000000"/>
              <w:bottom w:val="single" w:sz="2" w:space="0" w:color="000000"/>
            </w:tcBorders>
          </w:tcPr>
          <w:p>
            <w:pPr>
              <w:pStyle w:val="Normal"/>
              <w:widowControl w:val="false"/>
              <w:overflowPunct w:val="false"/>
              <w:spacing w:before="57" w:after="57"/>
              <w:jc w:val="both"/>
              <w:textAlignment w:val="baseline"/>
              <w:rPr>
                <w:rFonts w:ascii="Arial" w:hAnsi="Arial" w:eastAsia="Times New Roman" w:cs="Liberation Serif;Times New Roman"/>
                <w:b/>
                <w:bCs/>
                <w:sz w:val="22"/>
                <w:szCs w:val="22"/>
                <w:lang w:eastAsia="en-GB" w:bidi="en-GB"/>
              </w:rPr>
            </w:pPr>
            <w:r>
              <w:rPr>
                <w:rFonts w:eastAsia="Times New Roman" w:cs="Arial"/>
                <w:b/>
                <w:bCs/>
                <w:sz w:val="22"/>
                <w:szCs w:val="22"/>
                <w:lang w:eastAsia="en-GB" w:bidi="en-GB"/>
              </w:rPr>
              <w:t>Current Ratification</w:t>
            </w:r>
          </w:p>
        </w:tc>
        <w:tc>
          <w:tcPr>
            <w:tcW w:w="1351" w:type="dxa"/>
            <w:tcBorders>
              <w:left w:val="single" w:sz="2" w:space="0" w:color="000000"/>
              <w:bottom w:val="single" w:sz="2" w:space="0" w:color="000000"/>
            </w:tcBorders>
          </w:tcPr>
          <w:p>
            <w:pPr>
              <w:pStyle w:val="Normal"/>
              <w:widowControl w:val="false"/>
              <w:overflowPunct w:val="false"/>
              <w:snapToGrid w:val="false"/>
              <w:spacing w:before="57" w:after="57"/>
              <w:jc w:val="both"/>
              <w:textAlignment w:val="baseline"/>
              <w:rPr>
                <w:rFonts w:ascii="Arial" w:hAnsi="Arial" w:eastAsia="Times New Roman" w:cs="Liberation Serif;Times New Roman"/>
                <w:b w:val="false"/>
                <w:bCs w:val="false"/>
                <w:color w:val="auto"/>
                <w:sz w:val="22"/>
                <w:szCs w:val="22"/>
                <w:lang w:val="en-GB" w:eastAsia="en-GB" w:bidi="en-GB"/>
              </w:rPr>
            </w:pPr>
            <w:r>
              <w:rPr>
                <w:rFonts w:eastAsia="Times New Roman" w:cs="Arial"/>
                <w:b w:val="false"/>
                <w:bCs w:val="false"/>
                <w:color w:val="auto"/>
                <w:sz w:val="22"/>
                <w:szCs w:val="22"/>
                <w:lang w:val="en-GB" w:eastAsia="en-GB" w:bidi="en-GB"/>
              </w:rPr>
              <w:t>26/03/2026</w:t>
            </w:r>
          </w:p>
        </w:tc>
        <w:tc>
          <w:tcPr>
            <w:tcW w:w="5505" w:type="dxa"/>
            <w:tcBorders>
              <w:left w:val="single" w:sz="2" w:space="0" w:color="000000"/>
              <w:bottom w:val="single" w:sz="2" w:space="0" w:color="000000"/>
              <w:right w:val="single" w:sz="2" w:space="0" w:color="000000"/>
            </w:tcBorders>
          </w:tcPr>
          <w:p>
            <w:pPr>
              <w:pStyle w:val="Normal"/>
              <w:widowControl w:val="false"/>
              <w:overflowPunct w:val="false"/>
              <w:snapToGrid w:val="false"/>
              <w:spacing w:before="57" w:after="57"/>
              <w:jc w:val="both"/>
              <w:textAlignment w:val="baseline"/>
              <w:rPr>
                <w:rFonts w:ascii="Arial" w:hAnsi="Arial" w:eastAsia="Times New Roman" w:cs="Liberation Serif;Times New Roman"/>
                <w:b w:val="false"/>
                <w:bCs w:val="false"/>
                <w:color w:val="auto"/>
                <w:sz w:val="22"/>
                <w:szCs w:val="22"/>
                <w:lang w:val="en-GB" w:eastAsia="en-GB" w:bidi="en-GB"/>
              </w:rPr>
            </w:pPr>
            <w:r>
              <w:rPr>
                <w:rFonts w:eastAsia="Times New Roman" w:cs="Arial"/>
                <w:b w:val="false"/>
                <w:bCs/>
                <w:color w:val="auto"/>
                <w:kern w:val="2"/>
                <w:sz w:val="22"/>
                <w:szCs w:val="22"/>
                <w:lang w:val="en-GB" w:eastAsia="en-GB" w:bidi="en-GB"/>
              </w:rPr>
              <w:t>FMYCA</w:t>
            </w:r>
            <w:r>
              <w:rPr>
                <w:rFonts w:eastAsia="Times New Roman" w:cs="Arial"/>
                <w:b w:val="false"/>
                <w:bCs w:val="false"/>
                <w:color w:val="auto"/>
                <w:sz w:val="22"/>
                <w:szCs w:val="22"/>
                <w:lang w:val="en-GB" w:eastAsia="en-GB" w:bidi="en-GB"/>
              </w:rPr>
              <w:t xml:space="preserve"> Management meeting </w:t>
            </w:r>
            <w:r>
              <w:rPr>
                <w:rFonts w:eastAsia="Times New Roman" w:cs="Arial"/>
                <w:b w:val="false"/>
                <w:bCs/>
                <w:color w:val="auto"/>
                <w:kern w:val="2"/>
                <w:sz w:val="22"/>
                <w:szCs w:val="22"/>
                <w:lang w:val="en-GB" w:eastAsia="en-GB" w:bidi="en-GB"/>
              </w:rPr>
              <w:t>(</w:t>
            </w:r>
            <w:r>
              <w:rPr>
                <w:rFonts w:eastAsia="Times New Roman" w:cs="Arial"/>
                <w:b w:val="false"/>
                <w:bCs w:val="false"/>
                <w:color w:val="auto"/>
                <w:kern w:val="2"/>
                <w:position w:val="0"/>
                <w:sz w:val="22"/>
                <w:szCs w:val="22"/>
                <w:vertAlign w:val="baseline"/>
                <w:lang w:val="en-US" w:eastAsia="en-GB" w:bidi="en-GB"/>
              </w:rPr>
              <w:t xml:space="preserve">Chair - </w:t>
            </w:r>
            <w:r>
              <w:rPr>
                <w:rFonts w:eastAsia="Times New Roman" w:cs="Arial"/>
                <w:b w:val="false"/>
                <w:bCs/>
                <w:color w:val="auto"/>
                <w:kern w:val="2"/>
                <w:sz w:val="22"/>
                <w:szCs w:val="22"/>
                <w:lang w:val="en-GB" w:eastAsia="en-GB" w:bidi="en-GB"/>
              </w:rPr>
              <w:t>Ken Gates)</w:t>
            </w:r>
          </w:p>
        </w:tc>
      </w:tr>
    </w:tbl>
    <w:p>
      <w:pPr>
        <w:pStyle w:val="Normal"/>
        <w:bidi w:val="0"/>
        <w:jc w:val="both"/>
        <w:rPr/>
      </w:pPr>
      <w:r>
        <w:rPr/>
      </w:r>
    </w:p>
    <w:p>
      <w:pPr>
        <w:pStyle w:val="Default"/>
        <w:bidi w:val="0"/>
        <w:jc w:val="both"/>
        <w:rPr/>
      </w:pPr>
      <w:r>
        <w:rPr/>
      </w:r>
    </w:p>
    <w:p>
      <w:pPr>
        <w:pStyle w:val="Default"/>
        <w:bidi w:val="0"/>
        <w:jc w:val="both"/>
        <w:rPr/>
      </w:pPr>
      <w:r>
        <w:rPr/>
        <w:drawing>
          <wp:anchor distT="0" distB="0" distL="0" distR="0" simplePos="0" relativeHeight="2" behindDoc="0" locked="0" layoutInCell="1" allowOverlap="1">
            <wp:simplePos x="0" y="0"/>
            <wp:positionH relativeFrom="column">
              <wp:posOffset>796925</wp:posOffset>
            </wp:positionH>
            <wp:positionV relativeFrom="paragraph">
              <wp:posOffset>1270</wp:posOffset>
            </wp:positionV>
            <wp:extent cx="1356995" cy="383540"/>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rcRect l="-195" t="-537" r="-195" b="-537"/>
                    <a:stretch>
                      <a:fillRect/>
                    </a:stretch>
                  </pic:blipFill>
                  <pic:spPr bwMode="auto">
                    <a:xfrm>
                      <a:off x="0" y="0"/>
                      <a:ext cx="1356995" cy="383540"/>
                    </a:xfrm>
                    <a:prstGeom prst="rect">
                      <a:avLst/>
                    </a:prstGeom>
                    <a:noFill/>
                  </pic:spPr>
                </pic:pic>
              </a:graphicData>
            </a:graphic>
          </wp:anchor>
        </w:drawing>
      </w:r>
    </w:p>
    <w:p>
      <w:pPr>
        <w:pStyle w:val="Default"/>
        <w:bidi w:val="0"/>
        <w:jc w:val="both"/>
        <w:rPr/>
      </w:pPr>
      <w:r>
        <w:rPr/>
        <w:t>Signed…</w:t>
        <w:tab/>
        <w:tab/>
        <w:tab/>
        <w:tab/>
        <w:tab/>
        <w:tab/>
        <w:t>26/03/2026</w:t>
      </w:r>
    </w:p>
    <w:p>
      <w:pPr>
        <w:pStyle w:val="Normal"/>
        <w:numPr>
          <w:ilvl w:val="0"/>
          <w:numId w:val="0"/>
        </w:numPr>
        <w:tabs>
          <w:tab w:val="clear" w:pos="720"/>
          <w:tab w:val="left" w:pos="-1225" w:leader="none"/>
          <w:tab w:val="left" w:pos="-720" w:leader="none"/>
          <w:tab w:val="left" w:pos="0" w:leader="none"/>
          <w:tab w:val="left" w:pos="736" w:leader="none"/>
          <w:tab w:val="left" w:pos="1076" w:leader="none"/>
          <w:tab w:val="left" w:pos="2160" w:leader="none"/>
        </w:tabs>
        <w:bidi w:val="0"/>
        <w:ind w:hanging="0" w:left="0" w:right="0"/>
        <w:jc w:val="both"/>
        <w:rPr/>
      </w:pPr>
      <w:r>
        <w:rPr/>
      </w:r>
      <w:r>
        <w:br w:type="page"/>
      </w:r>
    </w:p>
    <w:p>
      <w:pPr>
        <w:pStyle w:val="Normal"/>
        <w:widowControl/>
        <w:overflowPunct w:val="true"/>
        <w:spacing w:before="0" w:after="0"/>
        <w:jc w:val="left"/>
        <w:textAlignment w:val="auto"/>
        <w:rPr/>
      </w:pPr>
      <w:r>
        <w:rPr/>
      </w:r>
    </w:p>
    <w:p>
      <w:pPr>
        <w:pStyle w:val="Normal"/>
        <w:widowControl/>
        <w:overflowPunct w:val="true"/>
        <w:jc w:val="center"/>
        <w:textAlignment w:val="auto"/>
        <w:rPr>
          <w:b/>
        </w:rPr>
      </w:pPr>
      <w:r>
        <w:rPr>
          <w:b/>
        </w:rPr>
        <w:t>APPENDIX</w:t>
      </w:r>
    </w:p>
    <w:p>
      <w:pPr>
        <w:pStyle w:val="Normal"/>
        <w:widowControl/>
        <w:overflowPunct w:val="true"/>
        <w:jc w:val="center"/>
        <w:textAlignment w:val="auto"/>
        <w:rPr>
          <w:b/>
        </w:rPr>
      </w:pPr>
      <w:r>
        <w:rPr>
          <w:b/>
        </w:rPr>
      </w:r>
    </w:p>
    <w:p>
      <w:pPr>
        <w:pStyle w:val="Normal"/>
        <w:widowControl/>
        <w:overflowPunct w:val="true"/>
        <w:jc w:val="left"/>
        <w:textAlignment w:val="auto"/>
        <w:rPr/>
      </w:pPr>
      <w:r>
        <w:rPr>
          <w:rFonts w:cs="Arial"/>
          <w:b/>
          <w:bCs/>
          <w:sz w:val="20"/>
          <w:u w:val="single"/>
        </w:rPr>
        <w:t>SUBSTANCES OR PRODUCTS CAUSING ALLERGIES OR INTOLERANCES</w:t>
      </w:r>
      <w:r>
        <w:rPr>
          <w:rFonts w:cs="Arial"/>
          <w:sz w:val="20"/>
        </w:rPr>
        <w:br/>
      </w:r>
    </w:p>
    <w:p>
      <w:pPr>
        <w:pStyle w:val="ListParagraph"/>
        <w:widowControl/>
        <w:numPr>
          <w:ilvl w:val="0"/>
          <w:numId w:val="2"/>
        </w:numPr>
        <w:overflowPunct w:val="true"/>
        <w:ind w:hanging="360" w:left="720" w:right="0"/>
        <w:jc w:val="left"/>
        <w:textAlignment w:val="auto"/>
        <w:rPr/>
      </w:pPr>
      <w:r>
        <w:rPr>
          <w:rFonts w:cs="Arial"/>
          <w:b/>
          <w:bCs/>
          <w:sz w:val="20"/>
        </w:rPr>
        <w:t>Cereals containing gluten</w:t>
      </w:r>
      <w:r>
        <w:rPr>
          <w:rFonts w:cs="Arial"/>
          <w:sz w:val="20"/>
        </w:rPr>
        <w:t xml:space="preserve">, namely: wheat, rye, barley, oats, spelt, kamut or their hybridised strains, and products thereof, except: </w:t>
        <w:br/>
        <w:t xml:space="preserve">(a) wheat based glucose syrups including dextrose (1); </w:t>
        <w:br/>
        <w:t xml:space="preserve">(b) wheat based maltodextrins (1); </w:t>
        <w:br/>
        <w:t xml:space="preserve">(c) glucose syrups based on barley; </w:t>
        <w:br/>
        <w:t xml:space="preserve">(d) cereals used for making alcoholic distillates including ethyl alcohol of agricultural origin; </w:t>
        <w:br/>
      </w:r>
    </w:p>
    <w:p>
      <w:pPr>
        <w:pStyle w:val="ListParagraph"/>
        <w:widowControl/>
        <w:numPr>
          <w:ilvl w:val="0"/>
          <w:numId w:val="2"/>
        </w:numPr>
        <w:overflowPunct w:val="true"/>
        <w:ind w:hanging="360" w:left="720" w:right="0"/>
        <w:jc w:val="left"/>
        <w:textAlignment w:val="auto"/>
        <w:rPr/>
      </w:pPr>
      <w:r>
        <w:rPr>
          <w:rFonts w:cs="Arial"/>
          <w:b/>
          <w:bCs/>
          <w:sz w:val="20"/>
        </w:rPr>
        <w:t>Crustaceans</w:t>
      </w:r>
      <w:r>
        <w:rPr>
          <w:rFonts w:cs="Arial"/>
          <w:sz w:val="20"/>
        </w:rPr>
        <w:t xml:space="preserve"> and products thereof; </w:t>
        <w:br/>
      </w:r>
    </w:p>
    <w:p>
      <w:pPr>
        <w:pStyle w:val="ListParagraph"/>
        <w:widowControl/>
        <w:numPr>
          <w:ilvl w:val="0"/>
          <w:numId w:val="2"/>
        </w:numPr>
        <w:overflowPunct w:val="true"/>
        <w:ind w:hanging="360" w:left="720" w:right="0"/>
        <w:jc w:val="left"/>
        <w:textAlignment w:val="auto"/>
        <w:rPr/>
      </w:pPr>
      <w:r>
        <w:rPr>
          <w:rFonts w:cs="Arial"/>
          <w:b/>
          <w:bCs/>
          <w:sz w:val="20"/>
        </w:rPr>
        <w:t>Eggs</w:t>
      </w:r>
      <w:r>
        <w:rPr>
          <w:rFonts w:cs="Arial"/>
          <w:sz w:val="20"/>
        </w:rPr>
        <w:t xml:space="preserve"> and products thereof; </w:t>
        <w:br/>
      </w:r>
    </w:p>
    <w:p>
      <w:pPr>
        <w:pStyle w:val="ListParagraph"/>
        <w:widowControl/>
        <w:numPr>
          <w:ilvl w:val="0"/>
          <w:numId w:val="2"/>
        </w:numPr>
        <w:overflowPunct w:val="true"/>
        <w:ind w:hanging="360" w:left="720" w:right="0"/>
        <w:jc w:val="left"/>
        <w:textAlignment w:val="auto"/>
        <w:rPr/>
      </w:pPr>
      <w:r>
        <w:rPr>
          <w:rFonts w:cs="Arial"/>
          <w:b/>
          <w:bCs/>
          <w:sz w:val="20"/>
        </w:rPr>
        <w:t>Fish</w:t>
      </w:r>
      <w:r>
        <w:rPr>
          <w:rFonts w:cs="Arial"/>
          <w:sz w:val="20"/>
        </w:rPr>
        <w:t xml:space="preserve"> and products thereof, except: </w:t>
        <w:br/>
        <w:t xml:space="preserve">(a) fish gelatine used as carrier for vitamin or carotenoid preparations; </w:t>
        <w:br/>
        <w:t>(b) fish gelatine or Isinglass used as fining agent in beer and wine;</w:t>
        <w:br/>
      </w:r>
    </w:p>
    <w:p>
      <w:pPr>
        <w:pStyle w:val="ListParagraph"/>
        <w:widowControl/>
        <w:numPr>
          <w:ilvl w:val="0"/>
          <w:numId w:val="2"/>
        </w:numPr>
        <w:overflowPunct w:val="true"/>
        <w:ind w:hanging="360" w:left="720" w:right="0"/>
        <w:jc w:val="left"/>
        <w:textAlignment w:val="auto"/>
        <w:rPr/>
      </w:pPr>
      <w:r>
        <w:rPr>
          <w:rFonts w:cs="Arial"/>
          <w:b/>
          <w:bCs/>
          <w:sz w:val="20"/>
        </w:rPr>
        <w:t>Peanuts</w:t>
      </w:r>
      <w:r>
        <w:rPr>
          <w:rFonts w:cs="Arial"/>
          <w:sz w:val="20"/>
        </w:rPr>
        <w:t xml:space="preserve"> and products thereof; </w:t>
        <w:br/>
      </w:r>
    </w:p>
    <w:p>
      <w:pPr>
        <w:pStyle w:val="ListParagraph"/>
        <w:widowControl/>
        <w:numPr>
          <w:ilvl w:val="0"/>
          <w:numId w:val="2"/>
        </w:numPr>
        <w:overflowPunct w:val="true"/>
        <w:ind w:hanging="360" w:left="720" w:right="0"/>
        <w:jc w:val="left"/>
        <w:textAlignment w:val="auto"/>
        <w:rPr/>
      </w:pPr>
      <w:r>
        <w:rPr>
          <w:rFonts w:cs="Arial"/>
          <w:b/>
          <w:bCs/>
          <w:sz w:val="20"/>
        </w:rPr>
        <w:t>Soybeans</w:t>
      </w:r>
      <w:r>
        <w:rPr>
          <w:rFonts w:cs="Arial"/>
          <w:sz w:val="20"/>
        </w:rPr>
        <w:t xml:space="preserve"> and products thereof, except: </w:t>
        <w:br/>
        <w:t xml:space="preserve">(a) fully refined soybean oil and fat (1); </w:t>
        <w:br/>
        <w:t xml:space="preserve">(b) natural mixed tocopherols (E306), natural D-alpha tocopherol, natural D-alpha tocopherol acetate, and natural D-alpha tocopherol succinate from soybean sources; </w:t>
        <w:br/>
        <w:t xml:space="preserve">(c) vegetable oils derived phytosterols and phytosterol esters from soybean sources; </w:t>
        <w:br/>
        <w:t>(d) plant stanol ester produced from vegetable oil sterols from soybean sources;</w:t>
        <w:br/>
      </w:r>
    </w:p>
    <w:p>
      <w:pPr>
        <w:pStyle w:val="ListParagraph"/>
        <w:widowControl/>
        <w:numPr>
          <w:ilvl w:val="0"/>
          <w:numId w:val="2"/>
        </w:numPr>
        <w:overflowPunct w:val="true"/>
        <w:ind w:hanging="360" w:left="720" w:right="0"/>
        <w:jc w:val="left"/>
        <w:textAlignment w:val="auto"/>
        <w:rPr/>
      </w:pPr>
      <w:r>
        <w:rPr>
          <w:rFonts w:eastAsia="Arial" w:cs="Arial"/>
          <w:sz w:val="20"/>
        </w:rPr>
        <w:t xml:space="preserve"> </w:t>
      </w:r>
      <w:r>
        <w:rPr>
          <w:rFonts w:cs="Arial"/>
          <w:b/>
          <w:bCs/>
          <w:sz w:val="20"/>
        </w:rPr>
        <w:t>Milk</w:t>
      </w:r>
      <w:r>
        <w:rPr>
          <w:rFonts w:cs="Arial"/>
          <w:sz w:val="20"/>
        </w:rPr>
        <w:t xml:space="preserve"> and products thereof (including lactose), except: </w:t>
        <w:br/>
        <w:t xml:space="preserve">(a) whey used for making alcoholic distillates including ethyl alcohol of agricultural origin; </w:t>
        <w:br/>
        <w:t xml:space="preserve">(b) lactitol; </w:t>
        <w:br/>
      </w:r>
    </w:p>
    <w:p>
      <w:pPr>
        <w:pStyle w:val="ListParagraph"/>
        <w:widowControl/>
        <w:numPr>
          <w:ilvl w:val="0"/>
          <w:numId w:val="2"/>
        </w:numPr>
        <w:overflowPunct w:val="true"/>
        <w:ind w:hanging="360" w:left="720" w:right="0"/>
        <w:jc w:val="left"/>
        <w:textAlignment w:val="auto"/>
        <w:rPr/>
      </w:pPr>
      <w:r>
        <w:rPr>
          <w:rFonts w:cs="Arial"/>
          <w:b/>
          <w:sz w:val="20"/>
        </w:rPr>
        <w:t>Nuts</w:t>
      </w:r>
      <w:r>
        <w:rPr>
          <w:rFonts w:cs="Arial"/>
          <w:sz w:val="20"/>
        </w:rPr>
        <w:t>, namely: almonds (</w:t>
      </w:r>
      <w:r>
        <w:rPr>
          <w:rFonts w:cs="Arial"/>
          <w:i/>
          <w:iCs/>
          <w:sz w:val="20"/>
        </w:rPr>
        <w:t>Amygdalus communis L.</w:t>
      </w:r>
      <w:r>
        <w:rPr>
          <w:rFonts w:cs="Arial"/>
          <w:sz w:val="20"/>
        </w:rPr>
        <w:t>), hazelnuts (</w:t>
      </w:r>
      <w:r>
        <w:rPr>
          <w:rFonts w:cs="Arial"/>
          <w:i/>
          <w:iCs/>
          <w:sz w:val="20"/>
        </w:rPr>
        <w:t>Corylus avellana</w:t>
      </w:r>
      <w:r>
        <w:rPr>
          <w:rFonts w:cs="Arial"/>
          <w:sz w:val="20"/>
        </w:rPr>
        <w:t>), walnuts (</w:t>
      </w:r>
      <w:r>
        <w:rPr>
          <w:rFonts w:cs="Arial"/>
          <w:i/>
          <w:iCs/>
          <w:sz w:val="20"/>
        </w:rPr>
        <w:t>Juglans regia</w:t>
      </w:r>
      <w:r>
        <w:rPr>
          <w:rFonts w:cs="Arial"/>
          <w:sz w:val="20"/>
        </w:rPr>
        <w:t>), cashews (</w:t>
      </w:r>
      <w:r>
        <w:rPr>
          <w:rFonts w:cs="Arial"/>
          <w:i/>
          <w:iCs/>
          <w:sz w:val="20"/>
        </w:rPr>
        <w:t>Anacardium occidentale</w:t>
      </w:r>
      <w:r>
        <w:rPr>
          <w:rFonts w:cs="Arial"/>
          <w:sz w:val="20"/>
        </w:rPr>
        <w:t>), pecan nuts (</w:t>
      </w:r>
      <w:r>
        <w:rPr>
          <w:rFonts w:cs="Arial"/>
          <w:i/>
          <w:iCs/>
          <w:sz w:val="20"/>
        </w:rPr>
        <w:t>Carya illinoinensis</w:t>
      </w:r>
      <w:r>
        <w:rPr>
          <w:rFonts w:cs="Arial"/>
          <w:sz w:val="20"/>
        </w:rPr>
        <w:t xml:space="preserve"> (Wangenh.) K. Koch), Brazil nuts (</w:t>
      </w:r>
      <w:r>
        <w:rPr>
          <w:rFonts w:cs="Arial"/>
          <w:i/>
          <w:iCs/>
          <w:sz w:val="20"/>
        </w:rPr>
        <w:t>Bertholletia excelsa</w:t>
      </w:r>
      <w:r>
        <w:rPr>
          <w:rFonts w:cs="Arial"/>
          <w:sz w:val="20"/>
        </w:rPr>
        <w:t>), pistachio nuts (Pistacia vera), macadamia or Queensland nuts (</w:t>
      </w:r>
      <w:r>
        <w:rPr>
          <w:rFonts w:cs="Arial"/>
          <w:i/>
          <w:iCs/>
          <w:sz w:val="20"/>
        </w:rPr>
        <w:t>Macadamia ternifolia</w:t>
      </w:r>
      <w:r>
        <w:rPr>
          <w:rFonts w:cs="Arial"/>
          <w:sz w:val="20"/>
        </w:rPr>
        <w:t xml:space="preserve">), and products thereof, except for nuts used for making alcoholic distillates including ethyl alcohol of agricultural origin; </w:t>
        <w:br/>
      </w:r>
    </w:p>
    <w:p>
      <w:pPr>
        <w:pStyle w:val="ListParagraph"/>
        <w:widowControl/>
        <w:numPr>
          <w:ilvl w:val="0"/>
          <w:numId w:val="2"/>
        </w:numPr>
        <w:overflowPunct w:val="true"/>
        <w:ind w:hanging="360" w:left="720" w:right="0"/>
        <w:jc w:val="left"/>
        <w:textAlignment w:val="auto"/>
        <w:rPr/>
      </w:pPr>
      <w:r>
        <w:rPr>
          <w:rFonts w:cs="Arial"/>
          <w:b/>
          <w:bCs/>
          <w:sz w:val="20"/>
        </w:rPr>
        <w:t>Celery</w:t>
      </w:r>
      <w:r>
        <w:rPr>
          <w:rFonts w:cs="Arial"/>
          <w:sz w:val="20"/>
        </w:rPr>
        <w:t xml:space="preserve"> and products thereof; </w:t>
        <w:br/>
      </w:r>
    </w:p>
    <w:p>
      <w:pPr>
        <w:pStyle w:val="ListParagraph"/>
        <w:widowControl/>
        <w:numPr>
          <w:ilvl w:val="0"/>
          <w:numId w:val="2"/>
        </w:numPr>
        <w:overflowPunct w:val="true"/>
        <w:ind w:hanging="360" w:left="720" w:right="0"/>
        <w:jc w:val="left"/>
        <w:textAlignment w:val="auto"/>
        <w:rPr/>
      </w:pPr>
      <w:r>
        <w:rPr>
          <w:rFonts w:cs="Arial"/>
          <w:b/>
          <w:bCs/>
          <w:sz w:val="20"/>
        </w:rPr>
        <w:t>Mustard</w:t>
      </w:r>
      <w:r>
        <w:rPr>
          <w:rFonts w:cs="Arial"/>
          <w:sz w:val="20"/>
        </w:rPr>
        <w:t xml:space="preserve"> and products thereof; </w:t>
        <w:br/>
      </w:r>
    </w:p>
    <w:p>
      <w:pPr>
        <w:pStyle w:val="ListParagraph"/>
        <w:widowControl/>
        <w:numPr>
          <w:ilvl w:val="0"/>
          <w:numId w:val="2"/>
        </w:numPr>
        <w:overflowPunct w:val="true"/>
        <w:ind w:hanging="360" w:left="720" w:right="0"/>
        <w:jc w:val="left"/>
        <w:textAlignment w:val="auto"/>
        <w:rPr/>
      </w:pPr>
      <w:r>
        <w:rPr>
          <w:rFonts w:cs="Arial"/>
          <w:b/>
          <w:bCs/>
          <w:sz w:val="20"/>
        </w:rPr>
        <w:t xml:space="preserve">Sesame seeds </w:t>
      </w:r>
      <w:r>
        <w:rPr>
          <w:rFonts w:cs="Arial"/>
          <w:sz w:val="20"/>
        </w:rPr>
        <w:t xml:space="preserve">and products thereof; </w:t>
        <w:br/>
      </w:r>
    </w:p>
    <w:p>
      <w:pPr>
        <w:pStyle w:val="ListParagraph"/>
        <w:widowControl/>
        <w:numPr>
          <w:ilvl w:val="0"/>
          <w:numId w:val="2"/>
        </w:numPr>
        <w:overflowPunct w:val="true"/>
        <w:ind w:hanging="360" w:left="720" w:right="0"/>
        <w:jc w:val="left"/>
        <w:textAlignment w:val="auto"/>
        <w:rPr/>
      </w:pPr>
      <w:r>
        <w:rPr>
          <w:rFonts w:cs="Arial"/>
          <w:b/>
          <w:bCs/>
          <w:sz w:val="20"/>
        </w:rPr>
        <w:t xml:space="preserve">Sulphur dioxide and sulphites </w:t>
      </w:r>
      <w:r>
        <w:rPr>
          <w:rFonts w:cs="Arial"/>
          <w:sz w:val="20"/>
        </w:rPr>
        <w:t xml:space="preserve">at concentrations of more than 10 mg/kg or 10 mg/litre in terms of the total SO 2 which are to be calculated for products as proposed ready for consumption or as reconstituted according to the instructions of the manufacturers; </w:t>
        <w:br/>
      </w:r>
    </w:p>
    <w:p>
      <w:pPr>
        <w:pStyle w:val="ListParagraph"/>
        <w:widowControl/>
        <w:numPr>
          <w:ilvl w:val="0"/>
          <w:numId w:val="2"/>
        </w:numPr>
        <w:overflowPunct w:val="true"/>
        <w:ind w:hanging="360" w:left="720" w:right="0"/>
        <w:jc w:val="left"/>
        <w:textAlignment w:val="auto"/>
        <w:rPr/>
      </w:pPr>
      <w:r>
        <w:rPr>
          <w:rFonts w:cs="Arial"/>
          <w:b/>
          <w:bCs/>
          <w:sz w:val="20"/>
        </w:rPr>
        <w:t>Lupin</w:t>
      </w:r>
      <w:r>
        <w:rPr>
          <w:rFonts w:cs="Arial"/>
          <w:sz w:val="20"/>
        </w:rPr>
        <w:t xml:space="preserve"> and products thereof; </w:t>
        <w:br/>
      </w:r>
    </w:p>
    <w:p>
      <w:pPr>
        <w:pStyle w:val="ListParagraph"/>
        <w:widowControl/>
        <w:numPr>
          <w:ilvl w:val="0"/>
          <w:numId w:val="2"/>
        </w:numPr>
        <w:overflowPunct w:val="true"/>
        <w:ind w:hanging="360" w:left="720" w:right="0"/>
        <w:jc w:val="left"/>
        <w:textAlignment w:val="auto"/>
        <w:rPr/>
      </w:pPr>
      <w:r>
        <w:rPr>
          <w:rFonts w:cs="Arial"/>
          <w:b/>
          <w:bCs/>
          <w:sz w:val="20"/>
        </w:rPr>
        <w:t xml:space="preserve">Molluscs </w:t>
      </w:r>
      <w:r>
        <w:rPr>
          <w:rFonts w:cs="Arial"/>
          <w:sz w:val="20"/>
        </w:rPr>
        <w:t xml:space="preserve">and products thereof. EN 22.11.2011 </w:t>
      </w:r>
    </w:p>
    <w:p>
      <w:pPr>
        <w:pStyle w:val="Normal"/>
        <w:widowControl/>
        <w:overflowPunct w:val="true"/>
        <w:jc w:val="left"/>
        <w:textAlignment w:val="auto"/>
        <w:rPr>
          <w:rFonts w:cs="Arial"/>
          <w:sz w:val="20"/>
        </w:rPr>
      </w:pPr>
      <w:r>
        <w:rPr>
          <w:rFonts w:cs="Arial"/>
          <w:sz w:val="20"/>
        </w:rPr>
      </w:r>
    </w:p>
    <w:p>
      <w:pPr>
        <w:pStyle w:val="Normal"/>
        <w:widowControl/>
        <w:overflowPunct w:val="true"/>
        <w:jc w:val="left"/>
        <w:textAlignment w:val="auto"/>
        <w:rPr/>
      </w:pPr>
      <w:r>
        <w:rPr>
          <w:rFonts w:cs="Arial"/>
          <w:sz w:val="20"/>
        </w:rPr>
        <w:t>Official Journal of the European Union L 304/43</w:t>
        <w:br/>
        <w:br/>
      </w:r>
      <w:r>
        <w:rPr>
          <w:rFonts w:cs="Arial"/>
          <w:i/>
          <w:iCs/>
          <w:sz w:val="20"/>
        </w:rPr>
        <w:t>(1) And the products thereof, in so far as the process that they have undergone is not likely to increase the level of allergenicity assessed by the Authority for the relevant product from which they originated.</w:t>
      </w:r>
    </w:p>
    <w:sectPr>
      <w:footerReference w:type="even" r:id="rId3"/>
      <w:footerReference w:type="default" r:id="rId4"/>
      <w:footerReference w:type="first" r:id="rId5"/>
      <w:type w:val="nextPage"/>
      <w:pgSz w:w="11906" w:h="16838"/>
      <w:pgMar w:left="1418" w:right="1134" w:gutter="0" w:header="0" w:top="1418" w:footer="720"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Tahoma">
    <w:charset w:val="00"/>
    <w:family w:val="roman"/>
    <w:pitch w:val="variable"/>
  </w:font>
  <w:font w:name="Gill Sans MT">
    <w:charset w:val="00"/>
    <w:family w:val="roman"/>
    <w:pitch w:val="variable"/>
  </w:font>
  <w:font w:name="Liberation Serif">
    <w:altName w:val="Times New Roman"/>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072" w:leader="none"/>
      </w:tabs>
      <w:rPr/>
    </w:pPr>
    <w:r>
      <w:rPr>
        <w:rFonts w:cs="Arial"/>
        <w:sz w:val="16"/>
      </w:rPr>
      <w:t xml:space="preserve">©Simply-Docs – HS.ALL.02 – Allergen Policy               </w:t>
    </w:r>
    <w:r>
      <w:rPr>
        <w:rFonts w:cs="Arial"/>
        <w:sz w:val="16"/>
      </w:rPr>
      <w:fldChar w:fldCharType="begin"/>
    </w:r>
    <w:r>
      <w:rPr>
        <w:rFonts w:cs="Arial"/>
        <w:sz w:val="16"/>
      </w:rPr>
      <w:instrText xml:space="preserve"> FILENAME </w:instrText>
    </w:r>
    <w:r>
      <w:rPr>
        <w:rFonts w:cs="Arial"/>
        <w:sz w:val="16"/>
      </w:rPr>
      <w:fldChar w:fldCharType="separate"/>
    </w:r>
    <w:r>
      <w:rPr>
        <w:rFonts w:cs="Arial"/>
        <w:sz w:val="16"/>
      </w:rPr>
      <w:t>FMYCA H&amp;S Allergen Policy.docx</w:t>
    </w:r>
    <w:r>
      <w:rPr>
        <w:rFonts w:cs="Arial"/>
        <w:sz w:val="16"/>
      </w:rPr>
      <w:fldChar w:fldCharType="end"/>
    </w:r>
    <w:r>
      <w:rPr>
        <w:rFonts w:cs="Arial"/>
        <w:sz w:val="16"/>
      </w:rPr>
      <w:tab/>
      <w:t xml:space="preserve">Page </w:t>
    </w:r>
    <w:r>
      <w:rPr>
        <w:rStyle w:val="PageNumber"/>
        <w:rFonts w:cs="Arial"/>
        <w:sz w:val="16"/>
      </w:rPr>
      <w:fldChar w:fldCharType="begin"/>
    </w:r>
    <w:r>
      <w:rPr>
        <w:rStyle w:val="PageNumber"/>
        <w:rFonts w:cs="Arial"/>
        <w:sz w:val="16"/>
      </w:rPr>
      <w:instrText xml:space="preserve"> PAGE </w:instrText>
    </w:r>
    <w:r>
      <w:rPr>
        <w:rStyle w:val="PageNumber"/>
        <w:rFonts w:cs="Arial"/>
        <w:sz w:val="16"/>
      </w:rPr>
      <w:fldChar w:fldCharType="separate"/>
    </w:r>
    <w:r>
      <w:rPr>
        <w:rStyle w:val="PageNumber"/>
        <w:rFonts w:cs="Arial"/>
        <w:sz w:val="16"/>
      </w:rPr>
      <w:t>4</w:t>
    </w:r>
    <w:r>
      <w:rPr>
        <w:rStyle w:val="PageNumber"/>
        <w:rFonts w:cs="Arial"/>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072" w:leader="none"/>
      </w:tabs>
      <w:rPr/>
    </w:pPr>
    <w:r>
      <w:rPr>
        <w:rFonts w:cs="Arial"/>
        <w:sz w:val="16"/>
      </w:rPr>
      <w:t xml:space="preserve">©Simply-Docs – HS.ALL.02 – Allergen Policy               </w:t>
    </w:r>
    <w:r>
      <w:rPr>
        <w:rFonts w:cs="Arial"/>
        <w:sz w:val="16"/>
      </w:rPr>
      <w:fldChar w:fldCharType="begin"/>
    </w:r>
    <w:r>
      <w:rPr>
        <w:rFonts w:cs="Arial"/>
        <w:sz w:val="16"/>
      </w:rPr>
      <w:instrText xml:space="preserve"> FILENAME </w:instrText>
    </w:r>
    <w:r>
      <w:rPr>
        <w:rFonts w:cs="Arial"/>
        <w:sz w:val="16"/>
      </w:rPr>
      <w:fldChar w:fldCharType="separate"/>
    </w:r>
    <w:r>
      <w:rPr>
        <w:rFonts w:cs="Arial"/>
        <w:sz w:val="16"/>
      </w:rPr>
      <w:t>FMYCA H&amp;S Allergen Policy.docx</w:t>
    </w:r>
    <w:r>
      <w:rPr>
        <w:rFonts w:cs="Arial"/>
        <w:sz w:val="16"/>
      </w:rPr>
      <w:fldChar w:fldCharType="end"/>
    </w:r>
    <w:r>
      <w:rPr>
        <w:rFonts w:cs="Arial"/>
        <w:sz w:val="16"/>
      </w:rPr>
      <w:tab/>
      <w:t xml:space="preserve">Page </w:t>
    </w:r>
    <w:r>
      <w:rPr>
        <w:rStyle w:val="PageNumber"/>
        <w:rFonts w:cs="Arial"/>
        <w:sz w:val="16"/>
      </w:rPr>
      <w:fldChar w:fldCharType="begin"/>
    </w:r>
    <w:r>
      <w:rPr>
        <w:rStyle w:val="PageNumber"/>
        <w:rFonts w:cs="Arial"/>
        <w:sz w:val="16"/>
      </w:rPr>
      <w:instrText xml:space="preserve"> PAGE </w:instrText>
    </w:r>
    <w:r>
      <w:rPr>
        <w:rStyle w:val="PageNumber"/>
        <w:rFonts w:cs="Arial"/>
        <w:sz w:val="16"/>
      </w:rPr>
      <w:fldChar w:fldCharType="separate"/>
    </w:r>
    <w:r>
      <w:rPr>
        <w:rStyle w:val="PageNumber"/>
        <w:rFonts w:cs="Arial"/>
        <w:sz w:val="16"/>
      </w:rPr>
      <w:t>4</w:t>
    </w:r>
    <w:r>
      <w:rPr>
        <w:rStyle w:val="PageNumber"/>
        <w:rFonts w:cs="Arial"/>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720" w:hanging="360"/>
      </w:pPr>
      <w:rPr>
        <w:rFonts w:cs="Arial"/>
        <w:sz w:val="20"/>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709"/>
        </w:tabs>
        <w:ind w:left="709" w:hanging="709"/>
      </w:pPr>
      <w:rPr>
        <w:rFonts w:ascii="Arial" w:hAnsi="Arial" w:cs="Arial"/>
        <w:b w:val="false"/>
        <w:i w:val="false"/>
        <w:sz w:val="22"/>
      </w:rPr>
    </w:lvl>
    <w:lvl w:ilvl="1">
      <w:start w:val="1"/>
      <w:numFmt w:val="decimal"/>
      <w:lvlText w:val="%2."/>
      <w:lvlJc w:val="left"/>
      <w:pPr>
        <w:tabs>
          <w:tab w:val="num" w:pos="709"/>
        </w:tabs>
        <w:ind w:left="709" w:hanging="709"/>
      </w:pPr>
      <w:rPr>
        <w:rFonts w:ascii="Arial" w:hAnsi="Arial" w:cs="Arial"/>
        <w:b w:val="false"/>
        <w:i w:val="false"/>
        <w:sz w:val="22"/>
      </w:rPr>
    </w:lvl>
    <w:lvl w:ilvl="2">
      <w:start w:val="1"/>
      <w:numFmt w:val="decimal"/>
      <w:lvlText w:val="%1.%3"/>
      <w:lvlJc w:val="left"/>
      <w:pPr>
        <w:tabs>
          <w:tab w:val="num" w:pos="1418"/>
        </w:tabs>
        <w:ind w:left="1418" w:hanging="709"/>
      </w:pPr>
      <w:rPr>
        <w:rFonts w:ascii="Arial" w:hAnsi="Arial" w:cs="Arial"/>
        <w:b w:val="false"/>
        <w:i w:val="false"/>
        <w:sz w:val="22"/>
      </w:rPr>
    </w:lvl>
    <w:lvl w:ilvl="3">
      <w:start w:val="1"/>
      <w:numFmt w:val="lowerLetter"/>
      <w:lvlText w:val="%4)"/>
      <w:lvlJc w:val="left"/>
      <w:pPr>
        <w:tabs>
          <w:tab w:val="num" w:pos="1418"/>
        </w:tabs>
        <w:ind w:left="1418" w:hanging="709"/>
      </w:pPr>
      <w:rPr>
        <w:rFonts w:ascii="Arial" w:hAnsi="Arial" w:cs="Arial"/>
        <w:b w:val="false"/>
        <w:i w:val="false"/>
        <w:sz w:val="22"/>
      </w:rPr>
    </w:lvl>
    <w:lvl w:ilvl="4">
      <w:start w:val="1"/>
      <w:numFmt w:val="decimal"/>
      <w:lvlText w:val="%1.%3.%5"/>
      <w:lvlJc w:val="left"/>
      <w:pPr>
        <w:tabs>
          <w:tab w:val="num" w:pos="2126"/>
        </w:tabs>
        <w:ind w:left="2126" w:hanging="708"/>
      </w:pPr>
      <w:rPr/>
    </w:lvl>
    <w:lvl w:ilvl="5">
      <w:start w:val="1"/>
      <w:numFmt w:val="lowerLetter"/>
      <w:lvlText w:val="%6)"/>
      <w:lvlJc w:val="left"/>
      <w:pPr>
        <w:tabs>
          <w:tab w:val="num" w:pos="2126"/>
        </w:tabs>
        <w:ind w:left="2126" w:hanging="708"/>
      </w:pPr>
      <w:rPr/>
    </w:lvl>
    <w:lvl w:ilvl="6">
      <w:start w:val="1"/>
      <w:numFmt w:val="decimal"/>
      <w:lvlText w:val="%1.%3.%5.%7"/>
      <w:lvlJc w:val="left"/>
      <w:pPr>
        <w:tabs>
          <w:tab w:val="num" w:pos="2835"/>
        </w:tabs>
        <w:ind w:left="2835" w:hanging="709"/>
      </w:pPr>
      <w:rPr/>
    </w:lvl>
    <w:lvl w:ilvl="7">
      <w:start w:val="1"/>
      <w:numFmt w:val="lowerLetter"/>
      <w:lvlText w:val="%8)"/>
      <w:lvlJc w:val="left"/>
      <w:pPr>
        <w:tabs>
          <w:tab w:val="num" w:pos="2835"/>
        </w:tabs>
        <w:ind w:left="2835" w:hanging="709"/>
      </w:pPr>
      <w:rPr/>
    </w:lvl>
    <w:lvl w:ilvl="8">
      <w:start w:val="1"/>
      <w:numFmt w:val="decimal"/>
      <w:lvlText w:val="%1.%2.%3.%4.%5.%6.%7.%8.%9."/>
      <w:lvlJc w:val="left"/>
      <w:pPr>
        <w:tabs>
          <w:tab w:val="num" w:pos="4680"/>
        </w:tabs>
        <w:ind w:left="4320" w:hanging="144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isplayBackgroundShape/>
  <w:defaultTabStop w:val="720"/>
  <w:autoHyphenation w:val="true"/>
  <w:hyphenationZone w:val="360"/>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GB" w:eastAsia="zh-CN" w:bidi="hi-IN"/>
      </w:rPr>
    </w:rPrDefault>
    <w:pPrDefault>
      <w:pPr>
        <w:suppressAutoHyphens w:val="true"/>
      </w:pPr>
    </w:pPrDefault>
  </w:docDefaults>
  <w:style w:type="paragraph" w:styleId="Normal">
    <w:name w:val="Normal"/>
    <w:qFormat/>
    <w:pPr>
      <w:widowControl w:val="false"/>
      <w:suppressAutoHyphens w:val="true"/>
      <w:overflowPunct w:val="false"/>
      <w:bidi w:val="0"/>
      <w:spacing w:before="0" w:after="0"/>
      <w:jc w:val="both"/>
      <w:textAlignment w:val="baseline"/>
    </w:pPr>
    <w:rPr>
      <w:rFonts w:ascii="Arial" w:hAnsi="Arial" w:eastAsia="Times New Roman" w:cs="Arial"/>
      <w:color w:val="auto"/>
      <w:kern w:val="0"/>
      <w:sz w:val="22"/>
      <w:szCs w:val="20"/>
      <w:lang w:val="en-GB" w:eastAsia="zh-CN" w:bidi="ar-SA"/>
    </w:rPr>
  </w:style>
  <w:style w:type="paragraph" w:styleId="Heading1">
    <w:name w:val="heading 1"/>
    <w:basedOn w:val="Normal"/>
    <w:next w:val="Normal"/>
    <w:qFormat/>
    <w:pPr>
      <w:keepNext w:val="true"/>
      <w:numPr>
        <w:ilvl w:val="0"/>
        <w:numId w:val="1"/>
      </w:numPr>
      <w:spacing w:lineRule="auto" w:line="360"/>
      <w:jc w:val="center"/>
      <w:outlineLvl w:val="0"/>
    </w:pPr>
    <w:rPr>
      <w:b/>
    </w:rPr>
  </w:style>
  <w:style w:type="paragraph" w:styleId="Heading2">
    <w:name w:val="heading 2"/>
    <w:basedOn w:val="Normal"/>
    <w:next w:val="Normal"/>
    <w:qFormat/>
    <w:pPr>
      <w:keepNext w:val="true"/>
      <w:numPr>
        <w:ilvl w:val="1"/>
        <w:numId w:val="1"/>
      </w:numPr>
      <w:spacing w:before="0" w:after="120"/>
      <w:outlineLvl w:val="1"/>
    </w:pPr>
    <w:rPr>
      <w:b/>
    </w:rPr>
  </w:style>
  <w:style w:type="paragraph" w:styleId="Heading3">
    <w:name w:val="heading 3"/>
    <w:basedOn w:val="Normal"/>
    <w:next w:val="Normal"/>
    <w:qFormat/>
    <w:pPr>
      <w:keepNext w:val="true"/>
      <w:numPr>
        <w:ilvl w:val="2"/>
        <w:numId w:val="1"/>
      </w:numPr>
      <w:suppressAutoHyphens w:val="true"/>
      <w:spacing w:before="0" w:after="120"/>
      <w:jc w:val="center"/>
      <w:outlineLvl w:val="2"/>
    </w:pPr>
    <w:rPr>
      <w:b/>
      <w:spacing w:val="-3"/>
    </w:rPr>
  </w:style>
  <w:style w:type="paragraph" w:styleId="Heading4">
    <w:name w:val="heading 4"/>
    <w:basedOn w:val="Normal"/>
    <w:next w:val="Normal"/>
    <w:qFormat/>
    <w:pPr>
      <w:keepNext w:val="true"/>
      <w:widowControl/>
      <w:numPr>
        <w:ilvl w:val="3"/>
        <w:numId w:val="1"/>
      </w:numPr>
      <w:pBdr>
        <w:top w:val="single" w:sz="6" w:space="1" w:color="000000"/>
        <w:bottom w:val="single" w:sz="6" w:space="1" w:color="000000"/>
      </w:pBdr>
      <w:jc w:val="center"/>
      <w:outlineLvl w:val="3"/>
    </w:pPr>
    <w:rPr/>
  </w:style>
  <w:style w:type="paragraph" w:styleId="Heading5">
    <w:name w:val="heading 5"/>
    <w:basedOn w:val="Normal"/>
    <w:next w:val="Normal"/>
    <w:qFormat/>
    <w:pPr>
      <w:keepNext w:val="true"/>
      <w:numPr>
        <w:ilvl w:val="4"/>
        <w:numId w:val="1"/>
      </w:numPr>
      <w:ind w:hanging="3119" w:left="3119" w:right="0"/>
      <w:outlineLvl w:val="4"/>
    </w:pPr>
    <w:rPr>
      <w:rFonts w:cs="Arial"/>
      <w:b/>
      <w:bCs/>
    </w:rPr>
  </w:style>
  <w:style w:type="paragraph" w:styleId="Heading6">
    <w:name w:val="heading 6"/>
    <w:basedOn w:val="Normal"/>
    <w:next w:val="Normal"/>
    <w:qFormat/>
    <w:pPr>
      <w:keepNext w:val="true"/>
      <w:widowControl/>
      <w:numPr>
        <w:ilvl w:val="5"/>
        <w:numId w:val="1"/>
      </w:numPr>
      <w:spacing w:before="0" w:after="58"/>
      <w:jc w:val="center"/>
      <w:outlineLvl w:val="5"/>
    </w:pPr>
    <w:rPr>
      <w:rFonts w:ascii="Times New Roman" w:hAnsi="Times New Roman" w:cs="Times New Roman"/>
      <w:b/>
      <w:bCs/>
      <w:sz w:val="18"/>
      <w:szCs w:val="18"/>
    </w:rPr>
  </w:style>
  <w:style w:type="paragraph" w:styleId="Heading7">
    <w:name w:val="heading 7"/>
    <w:basedOn w:val="Normal"/>
    <w:next w:val="Normal"/>
    <w:qFormat/>
    <w:pPr>
      <w:keepNext w:val="true"/>
      <w:widowControl/>
      <w:numPr>
        <w:ilvl w:val="6"/>
        <w:numId w:val="1"/>
      </w:numPr>
      <w:overflowPunct w:val="true"/>
      <w:jc w:val="left"/>
      <w:textAlignment w:val="auto"/>
      <w:outlineLvl w:val="6"/>
    </w:pPr>
    <w:rPr>
      <w:rFonts w:cs="Arial"/>
      <w:b/>
      <w:bCs/>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cs="Arial"/>
      <w:sz w:val="20"/>
    </w:rPr>
  </w:style>
  <w:style w:type="character" w:styleId="WW8Num3z0">
    <w:name w:val="WW8Num3z0"/>
    <w:qFormat/>
    <w:rPr>
      <w:rFonts w:ascii="Arial" w:hAnsi="Arial" w:cs="Arial"/>
      <w:b w:val="false"/>
      <w:i w:val="false"/>
      <w:sz w:val="22"/>
    </w:rPr>
  </w:style>
  <w:style w:type="character" w:styleId="WW8Num3z4">
    <w:name w:val="WW8Num3z4"/>
    <w:qFormat/>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Symbol" w:hAnsi="Symbol" w:cs="Symbol"/>
      <w:sz w:val="20"/>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Arial" w:hAnsi="Arial" w:cs="Arial"/>
      <w:b w:val="false"/>
      <w:i w:val="false"/>
      <w:sz w:val="22"/>
    </w:rPr>
  </w:style>
  <w:style w:type="character" w:styleId="WW8Num7z4">
    <w:name w:val="WW8Num7z4"/>
    <w:qFormat/>
    <w:rPr/>
  </w:style>
  <w:style w:type="character" w:styleId="WW8Num8z0">
    <w:name w:val="WW8Num8z0"/>
    <w:qFormat/>
    <w:rPr>
      <w:rFonts w:ascii="Arial" w:hAnsi="Arial" w:cs="Arial"/>
      <w:b w:val="false"/>
      <w:i w:val="false"/>
      <w:sz w:val="22"/>
    </w:rPr>
  </w:style>
  <w:style w:type="character" w:styleId="WW8Num8z4">
    <w:name w:val="WW8Num8z4"/>
    <w:qFormat/>
    <w:rPr/>
  </w:style>
  <w:style w:type="character" w:styleId="WW8Num9z0">
    <w:name w:val="WW8Num9z0"/>
    <w:qFormat/>
    <w:rPr>
      <w:rFonts w:ascii="Arial" w:hAnsi="Arial" w:cs="Arial"/>
      <w:b w:val="false"/>
      <w:i w:val="false"/>
      <w:sz w:val="22"/>
    </w:rPr>
  </w:style>
  <w:style w:type="character" w:styleId="WW8Num9z4">
    <w:name w:val="WW8Num9z4"/>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style>
  <w:style w:type="character" w:styleId="WW8Num16z0">
    <w:name w:val="WW8Num16z0"/>
    <w:qFormat/>
    <w:rPr>
      <w:rFonts w:ascii="Arial" w:hAnsi="Arial" w:cs="Arial"/>
      <w:b w:val="false"/>
      <w:i w:val="false"/>
      <w:sz w:val="22"/>
    </w:rPr>
  </w:style>
  <w:style w:type="character" w:styleId="WW8Num16z4">
    <w:name w:val="WW8Num16z4"/>
    <w:qFormat/>
    <w:rPr/>
  </w:style>
  <w:style w:type="character" w:styleId="WW8Num17z0">
    <w:name w:val="WW8Num17z0"/>
    <w:qFormat/>
    <w:rPr>
      <w:rFonts w:ascii="Arial" w:hAnsi="Arial" w:cs="Arial"/>
      <w:b w:val="false"/>
      <w:i w:val="false"/>
      <w:sz w:val="22"/>
    </w:rPr>
  </w:style>
  <w:style w:type="character" w:styleId="WW8Num17z4">
    <w:name w:val="WW8Num17z4"/>
    <w:qFormat/>
    <w:rPr/>
  </w:style>
  <w:style w:type="character" w:styleId="WW8Num18z0">
    <w:name w:val="WW8Num18z0"/>
    <w:qFormat/>
    <w:rPr>
      <w:rFonts w:ascii="Arial" w:hAnsi="Arial" w:cs="Arial"/>
      <w:b/>
      <w:i w:val="false"/>
      <w:sz w:val="22"/>
    </w:rPr>
  </w:style>
  <w:style w:type="character" w:styleId="WW8Num18z2">
    <w:name w:val="WW8Num18z2"/>
    <w:qFormat/>
    <w:rPr>
      <w:rFonts w:ascii="Arial" w:hAnsi="Arial" w:cs="Arial"/>
      <w:b w:val="false"/>
      <w:i w:val="false"/>
      <w:sz w:val="22"/>
    </w:rPr>
  </w:style>
  <w:style w:type="character" w:styleId="WW8Num18z4">
    <w:name w:val="WW8Num18z4"/>
    <w:qFormat/>
    <w:rPr/>
  </w:style>
  <w:style w:type="character" w:styleId="DefaultParagraphFont">
    <w:name w:val="Default Paragraph Font"/>
    <w:qFormat/>
    <w:rPr/>
  </w:style>
  <w:style w:type="character" w:styleId="PageNumber">
    <w:name w:val="page number"/>
    <w:rPr>
      <w:sz w:val="20"/>
    </w:rPr>
  </w:style>
  <w:style w:type="character" w:styleId="Strong">
    <w:name w:val="Strong"/>
    <w:qFormat/>
    <w:rPr>
      <w:b/>
    </w:rPr>
  </w:style>
  <w:style w:type="character" w:styleId="HeaderChar">
    <w:name w:val="Header Char"/>
    <w:qFormat/>
    <w:rPr>
      <w:rFonts w:ascii="Arial" w:hAnsi="Arial" w:cs="Arial"/>
      <w:sz w:val="22"/>
    </w:rPr>
  </w:style>
  <w:style w:type="character" w:styleId="FooterChar">
    <w:name w:val="Footer Char"/>
    <w:qFormat/>
    <w:rPr>
      <w:rFonts w:ascii="Arial" w:hAnsi="Arial" w:cs="Arial"/>
      <w:sz w:val="22"/>
    </w:rPr>
  </w:style>
  <w:style w:type="character" w:styleId="CommentReference">
    <w:name w:val="Comment Reference"/>
    <w:qFormat/>
    <w:rPr>
      <w:sz w:val="16"/>
      <w:szCs w:val="16"/>
    </w:rPr>
  </w:style>
  <w:style w:type="character" w:styleId="CommentTextChar">
    <w:name w:val="Comment Text Char"/>
    <w:qFormat/>
    <w:rPr>
      <w:rFonts w:ascii="Arial" w:hAnsi="Arial" w:cs="Arial"/>
    </w:rPr>
  </w:style>
  <w:style w:type="character" w:styleId="CommentSubjectChar">
    <w:name w:val="Comment Subject Char"/>
    <w:qFormat/>
    <w:rPr>
      <w:rFonts w:ascii="Arial" w:hAnsi="Arial" w:cs="Arial"/>
      <w:b/>
      <w:bCs/>
    </w:rPr>
  </w:style>
  <w:style w:type="character" w:styleId="BalloonTextChar">
    <w:name w:val="Balloon Text Char"/>
    <w:qFormat/>
    <w:rPr>
      <w:rFonts w:ascii="Tahoma" w:hAnsi="Tahoma" w:cs="Tahoma"/>
      <w:sz w:val="16"/>
      <w:szCs w:val="16"/>
    </w:rPr>
  </w:style>
  <w:style w:type="character" w:styleId="BodyTextIndent2Char">
    <w:name w:val="Body Text Indent 2 Char"/>
    <w:qFormat/>
    <w:rPr>
      <w:rFonts w:ascii="Arial" w:hAnsi="Arial" w:cs="Arial"/>
      <w:sz w:val="22"/>
    </w:rPr>
  </w:style>
  <w:style w:type="character" w:styleId="Emphasis">
    <w:name w:val="Emphasis"/>
    <w:basedOn w:val="DefaultParagraphFont"/>
    <w:qFormat/>
    <w:rPr>
      <w:i/>
      <w:iCs/>
    </w:rPr>
  </w:style>
  <w:style w:type="character" w:styleId="WW8Num5z1">
    <w:name w:val="WW8Num5z1"/>
    <w:qFormat/>
    <w:rPr>
      <w:rFonts w:ascii="Courier New" w:hAnsi="Courier New" w:cs="Courier New"/>
    </w:rPr>
  </w:style>
  <w:style w:type="paragraph" w:styleId="Heading">
    <w:name w:val="Heading"/>
    <w:basedOn w:val="Normal"/>
    <w:next w:val="BodyText"/>
    <w:qFormat/>
    <w:pPr>
      <w:widowControl/>
      <w:jc w:val="center"/>
    </w:pPr>
    <w:rPr>
      <w:b/>
      <w:u w:val="single"/>
    </w:rPr>
  </w:style>
  <w:style w:type="paragraph" w:styleId="BodyText">
    <w:name w:val="Body Text"/>
    <w:basedOn w:val="Normal"/>
    <w:pPr>
      <w:widowControl/>
      <w:pBdr>
        <w:top w:val="single" w:sz="6" w:space="1" w:color="000000"/>
        <w:bottom w:val="single" w:sz="6" w:space="1" w:color="000000"/>
      </w:pBdr>
      <w:jc w:val="center"/>
    </w:pPr>
    <w:rPr>
      <w:iCs/>
      <w:caps/>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Number">
    <w:name w:val="List Number"/>
    <w:basedOn w:val="Normal"/>
    <w:qFormat/>
    <w:pPr>
      <w:ind w:hanging="360" w:left="360" w:right="0"/>
    </w:pPr>
    <w:rPr/>
  </w:style>
  <w:style w:type="paragraph" w:styleId="TOC1">
    <w:name w:val="toc 1"/>
    <w:basedOn w:val="Normal"/>
    <w:next w:val="Normal"/>
    <w:pPr>
      <w:spacing w:before="0" w:after="120"/>
    </w:pPr>
    <w:rPr>
      <w:lang w:val="en-US"/>
    </w:rPr>
  </w:style>
  <w:style w:type="paragraph" w:styleId="TOC2">
    <w:name w:val="toc 2"/>
    <w:basedOn w:val="Normal"/>
    <w:next w:val="Normal"/>
    <w:pPr>
      <w:ind w:hanging="0" w:left="240" w:right="0"/>
    </w:pPr>
    <w:rPr/>
  </w:style>
  <w:style w:type="paragraph" w:styleId="TOC3">
    <w:name w:val="toc 3"/>
    <w:basedOn w:val="Normal"/>
    <w:next w:val="Normal"/>
    <w:pPr>
      <w:ind w:hanging="0" w:left="480" w:right="0"/>
    </w:pPr>
    <w:rPr/>
  </w:style>
  <w:style w:type="paragraph" w:styleId="TOC4">
    <w:name w:val="toc 4"/>
    <w:basedOn w:val="Normal"/>
    <w:next w:val="Normal"/>
    <w:pPr>
      <w:ind w:hanging="0" w:left="720" w:right="0"/>
    </w:pPr>
    <w:rPr/>
  </w:style>
  <w:style w:type="paragraph" w:styleId="TOC5">
    <w:name w:val="toc 5"/>
    <w:basedOn w:val="Normal"/>
    <w:next w:val="Normal"/>
    <w:pPr>
      <w:ind w:hanging="0" w:left="960" w:right="0"/>
    </w:pPr>
    <w:rPr/>
  </w:style>
  <w:style w:type="paragraph" w:styleId="TOC6">
    <w:name w:val="toc 6"/>
    <w:basedOn w:val="Normal"/>
    <w:next w:val="Normal"/>
    <w:pPr>
      <w:ind w:hanging="0" w:left="1200" w:right="0"/>
    </w:pPr>
    <w:rPr/>
  </w:style>
  <w:style w:type="paragraph" w:styleId="TOC7">
    <w:name w:val="toc 7"/>
    <w:basedOn w:val="Normal"/>
    <w:next w:val="Normal"/>
    <w:pPr>
      <w:ind w:hanging="0" w:left="1440" w:right="0"/>
    </w:pPr>
    <w:rPr/>
  </w:style>
  <w:style w:type="paragraph" w:styleId="TOC8">
    <w:name w:val="toc 8"/>
    <w:basedOn w:val="Normal"/>
    <w:next w:val="Normal"/>
    <w:pPr>
      <w:ind w:hanging="0" w:left="1680" w:right="0"/>
    </w:pPr>
    <w:rPr/>
  </w:style>
  <w:style w:type="paragraph" w:styleId="TOC9">
    <w:name w:val="toc 9"/>
    <w:basedOn w:val="Normal"/>
    <w:next w:val="Normal"/>
    <w:pPr>
      <w:ind w:hanging="0" w:left="1920" w:right="0"/>
    </w:pPr>
    <w:rPr/>
  </w:style>
  <w:style w:type="paragraph" w:styleId="BodyText2">
    <w:name w:val="Body Text 2"/>
    <w:basedOn w:val="Normal"/>
    <w:qFormat/>
    <w:pPr>
      <w:spacing w:before="0" w:after="120"/>
      <w:ind w:hanging="720" w:left="1440" w:right="0"/>
    </w:pPr>
    <w:rPr>
      <w:spacing w:val="-3"/>
    </w:rPr>
  </w:style>
  <w:style w:type="paragraph" w:styleId="Subtitle">
    <w:name w:val="Subtitle"/>
    <w:basedOn w:val="Normal"/>
    <w:next w:val="BodyText"/>
    <w:qFormat/>
    <w:pPr>
      <w:spacing w:before="0" w:after="60"/>
      <w:jc w:val="center"/>
    </w:pPr>
    <w:rPr>
      <w:rFonts w:cs="Arial"/>
      <w:szCs w:val="24"/>
    </w:rPr>
  </w:style>
  <w:style w:type="paragraph" w:styleId="Style11">
    <w:name w:val="Style1"/>
    <w:basedOn w:val="Heading"/>
    <w:qFormat/>
    <w:pPr>
      <w:keepNext w:val="true"/>
      <w:keepLines/>
      <w:numPr>
        <w:ilvl w:val="0"/>
        <w:numId w:val="3"/>
      </w:numPr>
      <w:spacing w:before="120" w:after="120"/>
      <w:jc w:val="both"/>
    </w:pPr>
    <w:rPr>
      <w:bCs/>
      <w:u w:val="none"/>
    </w:rPr>
  </w:style>
  <w:style w:type="paragraph" w:styleId="Style21">
    <w:name w:val="Style2"/>
    <w:basedOn w:val="Normal"/>
    <w:qFormat/>
    <w:pPr>
      <w:numPr>
        <w:ilvl w:val="0"/>
        <w:numId w:val="3"/>
      </w:numPr>
      <w:spacing w:before="0" w:after="120"/>
    </w:pPr>
    <w:rPr/>
  </w:style>
  <w:style w:type="paragraph" w:styleId="Style311">
    <w:name w:val="Style3.1.1"/>
    <w:basedOn w:val="Normal"/>
    <w:qFormat/>
    <w:pPr>
      <w:widowControl/>
      <w:numPr>
        <w:ilvl w:val="0"/>
        <w:numId w:val="3"/>
      </w:numPr>
      <w:spacing w:before="0" w:after="120"/>
    </w:pPr>
    <w:rPr>
      <w:rFonts w:cs="Arial"/>
      <w:bCs/>
    </w:rPr>
  </w:style>
  <w:style w:type="paragraph" w:styleId="Style3a">
    <w:name w:val="Style3a"/>
    <w:basedOn w:val="Style311"/>
    <w:qFormat/>
    <w:pPr/>
    <w:rPr/>
  </w:style>
  <w:style w:type="paragraph" w:styleId="Style2n">
    <w:name w:val="Style2n"/>
    <w:basedOn w:val="Normal"/>
    <w:qFormat/>
    <w:pPr>
      <w:spacing w:before="0" w:after="120"/>
      <w:ind w:hanging="0" w:left="709" w:right="0"/>
    </w:pPr>
    <w:rPr/>
  </w:style>
  <w:style w:type="paragraph" w:styleId="Style3n">
    <w:name w:val="Style3n"/>
    <w:basedOn w:val="Normal"/>
    <w:qFormat/>
    <w:pPr>
      <w:spacing w:before="0" w:after="120"/>
      <w:ind w:hanging="0" w:left="1418" w:right="0"/>
    </w:pPr>
    <w:rPr/>
  </w:style>
  <w:style w:type="paragraph" w:styleId="Style41">
    <w:name w:val="Style4"/>
    <w:basedOn w:val="Normal"/>
    <w:qFormat/>
    <w:pPr>
      <w:numPr>
        <w:ilvl w:val="0"/>
        <w:numId w:val="3"/>
      </w:numPr>
      <w:spacing w:before="0" w:after="120"/>
    </w:pPr>
    <w:rPr/>
  </w:style>
  <w:style w:type="paragraph" w:styleId="Style4n">
    <w:name w:val="Style4n"/>
    <w:basedOn w:val="Style3n"/>
    <w:qFormat/>
    <w:pPr>
      <w:ind w:hanging="0" w:left="2127" w:right="0"/>
    </w:pPr>
    <w:rPr/>
  </w:style>
  <w:style w:type="paragraph" w:styleId="Style2a">
    <w:name w:val="Style2a"/>
    <w:basedOn w:val="Style2n"/>
    <w:qFormat/>
    <w:pPr>
      <w:numPr>
        <w:ilvl w:val="0"/>
        <w:numId w:val="3"/>
      </w:numPr>
    </w:pPr>
    <w:rPr/>
  </w:style>
  <w:style w:type="paragraph" w:styleId="Style1NB">
    <w:name w:val="Style1NB"/>
    <w:basedOn w:val="Style11"/>
    <w:qFormat/>
    <w:pPr/>
    <w:rPr>
      <w:b w:val="false"/>
    </w:rPr>
  </w:style>
  <w:style w:type="paragraph" w:styleId="Style4a">
    <w:name w:val="Style4a"/>
    <w:basedOn w:val="Style3a"/>
    <w:qFormat/>
    <w:pPr/>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rPr>
      <w:lang w:val="en-GB"/>
    </w:rPr>
  </w:style>
  <w:style w:type="paragraph" w:styleId="Footer">
    <w:name w:val="footer"/>
    <w:basedOn w:val="Normal"/>
    <w:pPr/>
    <w:rPr>
      <w:lang w:val="en-GB"/>
    </w:rPr>
  </w:style>
  <w:style w:type="paragraph" w:styleId="CommentText">
    <w:name w:val="Comment Text"/>
    <w:basedOn w:val="Normal"/>
    <w:qFormat/>
    <w:pPr/>
    <w:rPr>
      <w:sz w:val="20"/>
      <w:lang w:val="en-GB"/>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lang w:val="en-GB"/>
    </w:rPr>
  </w:style>
  <w:style w:type="paragraph" w:styleId="Style1notBold">
    <w:name w:val="Style1notBold"/>
    <w:basedOn w:val="Style11"/>
    <w:qFormat/>
    <w:pPr>
      <w:keepNext w:val="false"/>
      <w:keepLines w:val="false"/>
      <w:widowControl w:val="false"/>
      <w:numPr>
        <w:ilvl w:val="0"/>
        <w:numId w:val="0"/>
      </w:numPr>
      <w:ind w:hanging="709" w:left="709" w:right="0"/>
    </w:pPr>
    <w:rPr>
      <w:b w:val="false"/>
    </w:rPr>
  </w:style>
  <w:style w:type="paragraph" w:styleId="BodyTextIndent2">
    <w:name w:val="Body Text Indent 2"/>
    <w:basedOn w:val="Normal"/>
    <w:qFormat/>
    <w:pPr>
      <w:spacing w:lineRule="auto" w:line="480" w:before="0" w:after="120"/>
      <w:ind w:hanging="0" w:left="283" w:right="0"/>
    </w:pPr>
    <w:rPr>
      <w:lang w:val="en-GB"/>
    </w:rPr>
  </w:style>
  <w:style w:type="paragraph" w:styleId="Heading2NotBold">
    <w:name w:val="Heading 2 NotBold"/>
    <w:basedOn w:val="Heading2"/>
    <w:qFormat/>
    <w:pPr>
      <w:keepNext w:val="false"/>
      <w:numPr>
        <w:ilvl w:val="0"/>
        <w:numId w:val="0"/>
      </w:numPr>
      <w:overflowPunct w:val="true"/>
      <w:spacing w:lineRule="auto" w:line="288" w:before="180" w:after="0"/>
      <w:ind w:hanging="709" w:left="709" w:right="0"/>
      <w:textAlignment w:val="auto"/>
      <w:outlineLvl w:val="9"/>
    </w:pPr>
    <w:rPr>
      <w:rFonts w:cs="Arial"/>
      <w:b w:val="false"/>
      <w:bCs/>
      <w:color w:val="000000"/>
    </w:rPr>
  </w:style>
  <w:style w:type="paragraph" w:styleId="ListParagraph">
    <w:name w:val="List Paragraph"/>
    <w:basedOn w:val="Normal"/>
    <w:qFormat/>
    <w:pPr>
      <w:spacing w:before="0" w:after="0"/>
      <w:ind w:hanging="0" w:left="720" w:right="0"/>
      <w:contextualSpacing/>
    </w:pPr>
    <w:rPr/>
  </w:style>
  <w:style w:type="paragraph" w:styleId="NormalWeb">
    <w:name w:val="Normal (Web)"/>
    <w:basedOn w:val="Normal"/>
    <w:qFormat/>
    <w:pPr>
      <w:widowControl/>
      <w:overflowPunct w:val="true"/>
      <w:spacing w:before="280" w:after="280"/>
      <w:jc w:val="left"/>
      <w:textAlignment w:val="auto"/>
    </w:pPr>
    <w:rPr>
      <w:rFonts w:ascii="Times New Roman" w:hAnsi="Times New Roman" w:cs="Times New Roman"/>
      <w:sz w:val="24"/>
      <w:szCs w:val="24"/>
    </w:rPr>
  </w:style>
  <w:style w:type="paragraph" w:styleId="Pa13">
    <w:name w:val="Pa13"/>
    <w:basedOn w:val="Normal"/>
    <w:next w:val="Normal"/>
    <w:qFormat/>
    <w:pPr>
      <w:widowControl/>
      <w:overflowPunct w:val="true"/>
      <w:spacing w:lineRule="atLeast" w:line="231"/>
      <w:jc w:val="left"/>
      <w:textAlignment w:val="auto"/>
    </w:pPr>
    <w:rPr>
      <w:rFonts w:ascii="Gill Sans MT" w:hAnsi="Gill Sans MT" w:cs="Gill Sans MT"/>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user">
    <w:name w:val="Frame Contents (user)"/>
    <w:basedOn w:val="Normal"/>
    <w:qFormat/>
    <w:pPr/>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0"/>
      <w:sz w:val="24"/>
      <w:szCs w:val="24"/>
      <w:lang w:val="en-GB" w:eastAsia="zh-CN" w:bidi="ar-SA"/>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257</TotalTime>
  <Application>LibreOffice/25.8.5.2$Windows_X86_64 LibreOffice_project/9c8b85f387cc00a89945a79c9e6239f32e450ac2</Application>
  <AppVersion>15.0000</AppVersion>
  <Pages>3</Pages>
  <Words>1314</Words>
  <Characters>7341</Characters>
  <CharactersWithSpaces>8624</CharactersWithSpaces>
  <Paragraphs>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dcterms:modified xsi:type="dcterms:W3CDTF">2026-03-11T17:34:59Z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file>