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4" w:leader="none"/>
          <w:tab w:val="center" w:pos="4229" w:leader="none"/>
        </w:tabs>
        <w:spacing w:lineRule="atLeast" w:line="100" w:before="0" w:after="120"/>
        <w:jc w:val="center"/>
        <w:rPr>
          <w:rFonts w:ascii="Arial" w:hAnsi="Arial" w:eastAsia="Arial" w:cs="Arial"/>
          <w:b/>
          <w:sz w:val="26"/>
          <w:szCs w:val="26"/>
        </w:rPr>
      </w:pPr>
      <w:r>
        <w:rPr>
          <w:rFonts w:eastAsia="Arial" w:cs="Arial" w:ascii="Arial" w:hAnsi="Arial"/>
          <w:b/>
          <w:sz w:val="26"/>
          <w:szCs w:val="26"/>
        </w:rPr>
        <w:t>Minutes of FMYCA Management Committee Meeting on 29 January 2026</w:t>
      </w:r>
    </w:p>
    <w:p>
      <w:pPr>
        <w:pStyle w:val="Normal"/>
        <w:spacing w:lineRule="atLeast" w:line="100" w:before="0" w:after="120"/>
        <w:rPr/>
      </w:pPr>
      <w:r>
        <w:rPr>
          <w:rFonts w:eastAsia="Calibri" w:cs="Arial" w:ascii="Arial" w:hAnsi="Arial"/>
          <w:b/>
        </w:rPr>
        <w:t>Present</w:t>
      </w:r>
      <w:r>
        <w:rPr>
          <w:rFonts w:eastAsia="Calibri" w:cs="Arial" w:ascii="Arial" w:hAnsi="Arial"/>
        </w:rPr>
        <w:t xml:space="preserve">: </w:t>
      </w:r>
      <w:r>
        <w:rPr>
          <w:rFonts w:eastAsia="Calibri" w:cs="Arial" w:ascii="Arial" w:hAnsi="Arial"/>
          <w:sz w:val="20"/>
          <w:szCs w:val="20"/>
        </w:rPr>
        <w:t xml:space="preserve">Malcolm Blackwood (Vice Chair), Eric Bulmer, Carol Callum (Assistant Centre Manager &amp; Wellbeing Manager), </w:t>
      </w:r>
      <w:r>
        <w:rPr>
          <w:rFonts w:eastAsia="Arial" w:cs="Arial" w:ascii="Arial" w:hAnsi="Arial"/>
          <w:sz w:val="20"/>
          <w:szCs w:val="20"/>
        </w:rPr>
        <w:t xml:space="preserve">Barbara Fox, </w:t>
      </w:r>
      <w:r>
        <w:rPr>
          <w:rFonts w:eastAsia="Calibri" w:cs="Arial" w:ascii="Arial" w:hAnsi="Arial"/>
          <w:sz w:val="20"/>
          <w:szCs w:val="20"/>
        </w:rPr>
        <w:t xml:space="preserve">Ken Gates </w:t>
      </w:r>
      <w:bookmarkStart w:id="0" w:name="Bookmark"/>
      <w:r>
        <w:rPr>
          <w:rFonts w:eastAsia="Calibri" w:cs="Arial" w:ascii="Arial" w:hAnsi="Arial"/>
          <w:sz w:val="20"/>
          <w:szCs w:val="20"/>
        </w:rPr>
        <w:t>(Chair)</w:t>
      </w:r>
      <w:bookmarkEnd w:id="0"/>
      <w:r>
        <w:rPr>
          <w:rFonts w:eastAsia="Calibri" w:cs="Arial" w:ascii="Arial" w:hAnsi="Arial"/>
          <w:sz w:val="20"/>
          <w:szCs w:val="20"/>
        </w:rPr>
        <w:t>, Jim Pendrey (Centre Manager), Ian Rudd (Treasurer), Peter Sykes (Secretary), Julia Urwin (as observer)</w:t>
      </w:r>
      <w:r>
        <w:rPr>
          <w:rFonts w:eastAsia="Arial" w:cs="Arial" w:ascii="Arial" w:hAnsi="Arial"/>
          <w:sz w:val="20"/>
          <w:szCs w:val="20"/>
        </w:rPr>
        <w:t>.</w:t>
      </w:r>
    </w:p>
    <w:tbl>
      <w:tblPr>
        <w:tblW w:w="10305" w:type="dxa"/>
        <w:jc w:val="left"/>
        <w:tblInd w:w="-367" w:type="dxa"/>
        <w:tblLayout w:type="fixed"/>
        <w:tblCellMar>
          <w:top w:w="0" w:type="dxa"/>
          <w:left w:w="108" w:type="dxa"/>
          <w:bottom w:w="0" w:type="dxa"/>
          <w:right w:w="108" w:type="dxa"/>
        </w:tblCellMar>
        <w:tblLook w:firstRow="1" w:noVBand="1" w:lastRow="0" w:firstColumn="1" w:lastColumn="0" w:noHBand="0" w:val="04a0"/>
      </w:tblPr>
      <w:tblGrid>
        <w:gridCol w:w="1740"/>
        <w:gridCol w:w="7027"/>
        <w:gridCol w:w="1538"/>
      </w:tblGrid>
      <w:tr>
        <w:trPr>
          <w:tblHeader w:val="true"/>
          <w:trHeight w:val="270" w:hRule="atLeast"/>
        </w:trPr>
        <w:tc>
          <w:tcPr>
            <w:tcW w:w="1740" w:type="dxa"/>
            <w:tcBorders>
              <w:bottom w:val="single" w:sz="4" w:space="0" w:color="000000"/>
            </w:tcBorders>
            <w:shd w:color="auto" w:fill="FFFFFF" w:val="clear"/>
          </w:tcPr>
          <w:p>
            <w:pPr>
              <w:pStyle w:val="Normal"/>
              <w:widowControl w:val="false"/>
              <w:snapToGrid w:val="false"/>
              <w:spacing w:lineRule="atLeast" w:line="100" w:before="0" w:after="0"/>
              <w:rPr>
                <w:sz w:val="21"/>
                <w:szCs w:val="21"/>
              </w:rPr>
            </w:pPr>
            <w:r>
              <w:rPr>
                <w:sz w:val="21"/>
                <w:szCs w:val="21"/>
              </w:rPr>
            </w:r>
          </w:p>
        </w:tc>
        <w:tc>
          <w:tcPr>
            <w:tcW w:w="7027" w:type="dxa"/>
            <w:tcBorders>
              <w:bottom w:val="single" w:sz="4" w:space="0" w:color="000000"/>
            </w:tcBorders>
            <w:shd w:color="auto" w:fill="FFFFFF" w:val="clear"/>
          </w:tcPr>
          <w:p>
            <w:pPr>
              <w:pStyle w:val="Normal"/>
              <w:widowControl w:val="false"/>
              <w:snapToGrid w:val="false"/>
              <w:spacing w:lineRule="atLeast" w:line="100" w:before="0" w:after="85"/>
              <w:rPr>
                <w:rFonts w:eastAsia="Calibri" w:cs="Calibri"/>
                <w:sz w:val="21"/>
                <w:szCs w:val="21"/>
              </w:rPr>
            </w:pPr>
            <w:r>
              <w:rPr>
                <w:rFonts w:eastAsia="Calibri" w:cs="Calibri"/>
                <w:sz w:val="21"/>
                <w:szCs w:val="21"/>
              </w:rPr>
            </w:r>
          </w:p>
        </w:tc>
        <w:tc>
          <w:tcPr>
            <w:tcW w:w="1538"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atLeast" w:line="100" w:before="0" w:after="0"/>
              <w:jc w:val="center"/>
              <w:rPr>
                <w:rFonts w:ascii="Arial" w:hAnsi="Arial" w:eastAsia="Arial" w:cs="Arial"/>
                <w:b/>
                <w:sz w:val="24"/>
              </w:rPr>
            </w:pPr>
            <w:r>
              <w:rPr>
                <w:rFonts w:eastAsia="Arial" w:cs="Arial" w:ascii="Arial" w:hAnsi="Arial"/>
                <w:b/>
                <w:sz w:val="24"/>
              </w:rPr>
              <w:t>Action</w:t>
            </w:r>
          </w:p>
        </w:tc>
      </w:tr>
      <w:tr>
        <w:trPr>
          <w:trHeight w:val="23"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1. Welcome &amp; Apologies for absence</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0"/>
              <w:rPr>
                <w:rFonts w:ascii="Arial" w:hAnsi="Arial" w:eastAsia="Arial" w:cs="Arial"/>
              </w:rPr>
            </w:pPr>
            <w:r>
              <w:rPr>
                <w:rFonts w:eastAsia="Arial" w:cs="Arial" w:ascii="Arial" w:hAnsi="Arial"/>
              </w:rPr>
              <w:t>Trustees were welcomed to the meeting.</w:t>
            </w:r>
          </w:p>
          <w:p>
            <w:pPr>
              <w:pStyle w:val="Normal"/>
              <w:widowControl w:val="false"/>
              <w:spacing w:lineRule="auto" w:line="240" w:before="57" w:after="57"/>
              <w:rPr>
                <w:rFonts w:ascii="Arial" w:hAnsi="Arial" w:eastAsia="Arial" w:cs="Arial"/>
              </w:rPr>
            </w:pPr>
            <w:r>
              <w:rPr>
                <w:rFonts w:eastAsia="Arial" w:cs="Arial" w:ascii="Arial" w:hAnsi="Arial"/>
              </w:rPr>
              <w:t>Apologies were received from: Kath Thomson, Rachael Perry.</w:t>
            </w:r>
          </w:p>
          <w:p>
            <w:pPr>
              <w:pStyle w:val="Normal"/>
              <w:widowControl w:val="false"/>
              <w:spacing w:lineRule="auto" w:line="240" w:before="57" w:after="57"/>
              <w:rPr>
                <w:rFonts w:ascii="Arial" w:hAnsi="Arial" w:eastAsia="Arial" w:cs="Arial"/>
              </w:rPr>
            </w:pPr>
            <w:r>
              <w:rPr>
                <w:rFonts w:eastAsia="Arial" w:cs="Arial" w:ascii="Arial" w:hAnsi="Arial"/>
              </w:rPr>
              <w:t>Julia Urwin was welcomed to the meeting as an observer</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Calibri" w:cs="Arial"/>
                <w:sz w:val="18"/>
                <w:szCs w:val="18"/>
              </w:rPr>
            </w:pPr>
            <w:r>
              <w:rPr>
                <w:rFonts w:eastAsia="Calibri" w:cs="Arial" w:ascii="Arial" w:hAnsi="Arial"/>
                <w:sz w:val="18"/>
                <w:szCs w:val="18"/>
              </w:rPr>
            </w:r>
          </w:p>
        </w:tc>
      </w:tr>
      <w:tr>
        <w:trPr>
          <w:trHeight w:val="23"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2. Minutes of last meeting</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0"/>
              <w:rPr/>
            </w:pPr>
            <w:r>
              <w:rPr>
                <w:rFonts w:eastAsia="Arial" w:cs="Arial" w:ascii="Arial" w:hAnsi="Arial"/>
              </w:rPr>
              <w:t>The minutes of the meeting held on 27 November 2025 were reviewed.</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Calibri" w:cs="Arial"/>
                <w:sz w:val="18"/>
                <w:szCs w:val="18"/>
              </w:rPr>
            </w:pPr>
            <w:r>
              <w:rPr>
                <w:rFonts w:eastAsia="Calibri" w:cs="Arial" w:ascii="Arial" w:hAnsi="Arial"/>
                <w:sz w:val="18"/>
                <w:szCs w:val="18"/>
              </w:rPr>
            </w:r>
          </w:p>
        </w:tc>
      </w:tr>
      <w:tr>
        <w:trPr>
          <w:trHeight w:val="23"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3. Matters arisings</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rPr>
              <w:t>The minutes of the 27 November 2025 meeting were accepted as a true record. Eric asked about the Stroke group contact he had provided. Ian agreed to check whether suitable introduction has been made.</w:t>
            </w:r>
          </w:p>
          <w:p>
            <w:pPr>
              <w:pStyle w:val="Normal"/>
              <w:widowControl w:val="false"/>
              <w:spacing w:lineRule="auto" w:line="240" w:before="57" w:after="57"/>
              <w:rPr>
                <w:rFonts w:ascii="Arial" w:hAnsi="Arial" w:eastAsia="Arial" w:cs="Arial"/>
              </w:rPr>
            </w:pPr>
            <w:r>
              <w:rPr>
                <w:rFonts w:eastAsia="Arial" w:cs="Arial" w:ascii="Arial" w:hAnsi="Arial"/>
              </w:rPr>
              <w:t>Minutes with an electronic signature will be posted on our website as usual. We are continuing to seek additional trustees</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40" w:before="57" w:after="119"/>
              <w:jc w:val="center"/>
              <w:rPr>
                <w:rFonts w:ascii="Arial" w:hAnsi="Arial" w:eastAsia="Calibri" w:cs="Arial"/>
                <w:sz w:val="18"/>
                <w:szCs w:val="18"/>
              </w:rPr>
            </w:pPr>
            <w:r>
              <w:rPr>
                <w:rFonts w:eastAsia="Calibri" w:cs="Arial" w:ascii="Arial" w:hAnsi="Arial"/>
                <w:sz w:val="18"/>
                <w:szCs w:val="18"/>
              </w:rPr>
            </w:r>
          </w:p>
          <w:p>
            <w:pPr>
              <w:pStyle w:val="Normal"/>
              <w:widowControl w:val="false"/>
              <w:snapToGrid w:val="false"/>
              <w:spacing w:lineRule="auto" w:line="240" w:before="57" w:after="119"/>
              <w:jc w:val="center"/>
              <w:rPr>
                <w:rFonts w:ascii="Arial" w:hAnsi="Arial" w:eastAsia="Calibri" w:cs="Arial"/>
                <w:sz w:val="18"/>
                <w:szCs w:val="18"/>
              </w:rPr>
            </w:pPr>
            <w:r>
              <w:rPr>
                <w:rFonts w:eastAsia="Calibri" w:cs="Arial" w:ascii="Arial" w:hAnsi="Arial"/>
                <w:sz w:val="18"/>
                <w:szCs w:val="18"/>
              </w:rPr>
            </w:r>
          </w:p>
          <w:p>
            <w:pPr>
              <w:pStyle w:val="Normal"/>
              <w:widowControl w:val="false"/>
              <w:snapToGrid w:val="false"/>
              <w:spacing w:lineRule="auto" w:line="240" w:before="57" w:after="119"/>
              <w:jc w:val="center"/>
              <w:rPr>
                <w:rFonts w:ascii="Arial" w:hAnsi="Arial" w:eastAsia="Calibri" w:cs="Arial"/>
                <w:sz w:val="18"/>
                <w:szCs w:val="18"/>
              </w:rPr>
            </w:pPr>
            <w:r>
              <w:rPr>
                <w:rFonts w:eastAsia="Calibri" w:cs="Arial" w:ascii="Arial" w:hAnsi="Arial"/>
                <w:sz w:val="18"/>
                <w:szCs w:val="18"/>
              </w:rPr>
            </w:r>
          </w:p>
          <w:p>
            <w:pPr>
              <w:pStyle w:val="Normal"/>
              <w:widowControl w:val="false"/>
              <w:snapToGrid w:val="false"/>
              <w:spacing w:lineRule="auto" w:line="240" w:before="0" w:after="0"/>
              <w:jc w:val="center"/>
              <w:rPr>
                <w:rFonts w:ascii="Arial" w:hAnsi="Arial" w:eastAsia="Calibri" w:cs="Arial"/>
                <w:sz w:val="18"/>
                <w:szCs w:val="18"/>
              </w:rPr>
            </w:pPr>
            <w:r>
              <w:rPr>
                <w:rFonts w:eastAsia="Calibri" w:cs="Arial" w:ascii="Arial" w:hAnsi="Arial"/>
                <w:sz w:val="18"/>
                <w:szCs w:val="18"/>
              </w:rPr>
            </w:r>
          </w:p>
          <w:p>
            <w:pPr>
              <w:pStyle w:val="Normal"/>
              <w:widowControl w:val="false"/>
              <w:snapToGrid w:val="false"/>
              <w:spacing w:lineRule="auto" w:line="240" w:before="0" w:after="0"/>
              <w:jc w:val="center"/>
              <w:rPr>
                <w:rFonts w:ascii="Arial" w:hAnsi="Arial" w:eastAsia="Calibri" w:cs="Arial"/>
                <w:sz w:val="18"/>
                <w:szCs w:val="18"/>
              </w:rPr>
            </w:pPr>
            <w:r>
              <w:rPr>
                <w:rFonts w:eastAsia="Calibri" w:cs="Arial" w:ascii="Arial" w:hAnsi="Arial"/>
                <w:sz w:val="18"/>
                <w:szCs w:val="18"/>
              </w:rPr>
              <w:t>Peter to post on website</w:t>
            </w:r>
          </w:p>
        </w:tc>
      </w:tr>
      <w:tr>
        <w:trPr>
          <w:trHeight w:val="2486" w:hRule="atLeast"/>
        </w:trPr>
        <w:tc>
          <w:tcPr>
            <w:tcW w:w="1740" w:type="dxa"/>
            <w:tcBorders>
              <w:top w:val="single" w:sz="4" w:space="0" w:color="000000"/>
              <w:left w:val="single" w:sz="4" w:space="0" w:color="000000"/>
            </w:tcBorders>
            <w:shd w:color="auto" w:fill="FFFFFF" w:val="clear"/>
          </w:tcPr>
          <w:p>
            <w:pPr>
              <w:pStyle w:val="Normal"/>
              <w:widowControl w:val="false"/>
              <w:spacing w:lineRule="auto" w:line="240" w:before="57" w:after="0"/>
              <w:rPr/>
            </w:pPr>
            <w:r>
              <w:rPr>
                <w:rFonts w:eastAsia="Arial" w:cs="Arial" w:ascii="Arial" w:hAnsi="Arial"/>
                <w:b/>
                <w:sz w:val="21"/>
                <w:szCs w:val="21"/>
              </w:rPr>
              <w:t xml:space="preserve">4. </w:t>
            </w:r>
            <w:r>
              <w:rPr>
                <w:rFonts w:eastAsia="Times New Roman" w:cs="Arial" w:ascii="Arial" w:hAnsi="Arial"/>
                <w:b/>
                <w:sz w:val="21"/>
                <w:szCs w:val="21"/>
                <w:lang w:eastAsia="en-US"/>
              </w:rPr>
              <w:t>What’s been happening and is planned</w:t>
            </w:r>
          </w:p>
        </w:tc>
        <w:tc>
          <w:tcPr>
            <w:tcW w:w="7027" w:type="dxa"/>
            <w:tcBorders>
              <w:top w:val="single" w:sz="4" w:space="0" w:color="000000"/>
              <w:left w:val="single" w:sz="4" w:space="0" w:color="000000"/>
            </w:tcBorders>
            <w:shd w:color="auto" w:fill="FFFFFF" w:val="clear"/>
          </w:tcPr>
          <w:p>
            <w:pPr>
              <w:pStyle w:val="Normal"/>
              <w:widowControl w:val="false"/>
              <w:tabs>
                <w:tab w:val="clear" w:pos="720"/>
                <w:tab w:val="left" w:pos="317" w:leader="none"/>
              </w:tabs>
              <w:spacing w:lineRule="auto" w:line="240" w:before="57" w:after="57"/>
              <w:rPr>
                <w:rFonts w:ascii="Arial" w:hAnsi="Arial" w:eastAsia="Arial" w:cs="Arial"/>
              </w:rPr>
            </w:pPr>
            <w:r>
              <w:rPr>
                <w:rFonts w:eastAsia="Arial" w:cs="Arial" w:ascii="Arial" w:hAnsi="Arial"/>
              </w:rPr>
              <w:t xml:space="preserve">4.1. </w:t>
            </w:r>
            <w:r>
              <w:rPr>
                <w:rFonts w:eastAsia="Arial" w:cs="Arial" w:ascii="Arial" w:hAnsi="Arial"/>
                <w:b/>
                <w:bCs/>
              </w:rPr>
              <w:t>Wellbeing report:</w:t>
            </w:r>
          </w:p>
          <w:p>
            <w:pPr>
              <w:pStyle w:val="Normal"/>
              <w:widowControl w:val="false"/>
              <w:tabs>
                <w:tab w:val="clear" w:pos="720"/>
                <w:tab w:val="left" w:pos="317" w:leader="none"/>
              </w:tabs>
              <w:spacing w:lineRule="auto" w:line="240" w:before="57" w:after="57"/>
              <w:rPr>
                <w:rFonts w:ascii="Arial" w:hAnsi="Arial" w:eastAsia="Arial" w:cs="Arial"/>
              </w:rPr>
            </w:pPr>
            <w:r>
              <w:rPr>
                <w:rFonts w:eastAsia="Arial" w:cs="Arial" w:ascii="Arial" w:hAnsi="Arial"/>
              </w:rPr>
              <w:t>Carol’s report was issued prior to the meeting. The previous programme included a Christmas themed glass class and Christmas buffet. Sepideh did a great job running the chair exercise classes in Simon’s absence. Proceeds from the coffee morning and Christmas Fayre craft stall raised £500 for Sir Bobby Robson’s Foundation (SBRF). The Wellbeing group had just received a letter thanking them for their fundraising.</w:t>
            </w:r>
          </w:p>
          <w:p>
            <w:pPr>
              <w:pStyle w:val="Normal"/>
              <w:widowControl w:val="false"/>
              <w:tabs>
                <w:tab w:val="clear" w:pos="720"/>
                <w:tab w:val="left" w:pos="317" w:leader="none"/>
              </w:tabs>
              <w:spacing w:lineRule="auto" w:line="240" w:before="57" w:after="113"/>
              <w:rPr>
                <w:rFonts w:ascii="Arial" w:hAnsi="Arial" w:eastAsia="Arial" w:cs="Arial"/>
              </w:rPr>
            </w:pPr>
            <w:r>
              <w:rPr>
                <w:rFonts w:eastAsia="Arial" w:cs="Arial" w:ascii="Arial" w:hAnsi="Arial"/>
              </w:rPr>
              <w:t>Glass crafting workshop with Alison, box frame memory pictures and mosaic workshops are planned for next month plus Jen, ‘Cookie Fairy’ is returning in April to do a spring themed workshop.</w:t>
            </w:r>
          </w:p>
        </w:tc>
        <w:tc>
          <w:tcPr>
            <w:tcW w:w="1538" w:type="dxa"/>
            <w:tcBorders>
              <w:top w:val="single" w:sz="4" w:space="0" w:color="000000"/>
              <w:left w:val="single" w:sz="4" w:space="0" w:color="000000"/>
              <w:right w:val="single" w:sz="4" w:space="0" w:color="000000"/>
            </w:tcBorders>
            <w:shd w:color="auto" w:fill="FFFFFF" w:val="clear"/>
          </w:tcPr>
          <w:p>
            <w:pPr>
              <w:pStyle w:val="Normal"/>
              <w:widowControl w:val="false"/>
              <w:snapToGrid w:val="false"/>
              <w:spacing w:lineRule="atLeast" w:line="100" w:before="0" w:after="0"/>
              <w:jc w:val="center"/>
              <w:rPr>
                <w:rFonts w:ascii="Arial" w:hAnsi="Arial" w:eastAsia="Arial" w:cs="Arial"/>
                <w:sz w:val="18"/>
                <w:szCs w:val="18"/>
              </w:rPr>
            </w:pPr>
            <w:r>
              <w:rPr>
                <w:rFonts w:eastAsia="Arial" w:cs="Arial" w:ascii="Arial" w:hAnsi="Arial"/>
                <w:sz w:val="18"/>
                <w:szCs w:val="18"/>
              </w:rPr>
            </w:r>
          </w:p>
          <w:p>
            <w:pPr>
              <w:pStyle w:val="Normal"/>
              <w:widowControl w:val="false"/>
              <w:snapToGrid w:val="false"/>
              <w:spacing w:lineRule="atLeast" w:line="100" w:before="0" w:after="0"/>
              <w:jc w:val="center"/>
              <w:rPr>
                <w:rFonts w:ascii="Arial" w:hAnsi="Arial" w:eastAsia="Arial" w:cs="Arial"/>
                <w:sz w:val="18"/>
                <w:szCs w:val="18"/>
              </w:rPr>
            </w:pPr>
            <w:r>
              <w:rPr>
                <w:rFonts w:eastAsia="Arial" w:cs="Arial" w:ascii="Arial" w:hAnsi="Arial"/>
                <w:sz w:val="18"/>
                <w:szCs w:val="18"/>
              </w:rPr>
              <w:t>Peter to be sent letter from SBRF to post online</w:t>
            </w:r>
          </w:p>
        </w:tc>
      </w:tr>
      <w:tr>
        <w:trPr>
          <w:trHeight w:val="604" w:hRule="atLeast"/>
        </w:trPr>
        <w:tc>
          <w:tcPr>
            <w:tcW w:w="1740" w:type="dxa"/>
            <w:tcBorders>
              <w:left w:val="single" w:sz="4" w:space="0" w:color="000000"/>
            </w:tcBorders>
            <w:shd w:color="auto" w:fill="FFFFFF" w:val="clear"/>
          </w:tcPr>
          <w:p>
            <w:pPr>
              <w:pStyle w:val="Normal"/>
              <w:widowControl w:val="false"/>
              <w:snapToGrid w:val="false"/>
              <w:spacing w:lineRule="atLeast" w:line="100" w:before="0" w:after="0"/>
              <w:rPr>
                <w:rFonts w:ascii="Arial" w:hAnsi="Arial" w:eastAsia="Arial" w:cs="Arial"/>
                <w:sz w:val="21"/>
                <w:szCs w:val="21"/>
              </w:rPr>
            </w:pPr>
            <w:r>
              <w:rPr>
                <w:rFonts w:eastAsia="Arial" w:cs="Arial" w:ascii="Arial" w:hAnsi="Arial"/>
                <w:sz w:val="21"/>
                <w:szCs w:val="21"/>
              </w:rPr>
            </w:r>
          </w:p>
        </w:tc>
        <w:tc>
          <w:tcPr>
            <w:tcW w:w="7027" w:type="dxa"/>
            <w:tcBorders>
              <w:left w:val="single" w:sz="4" w:space="0" w:color="000000"/>
            </w:tcBorders>
            <w:shd w:color="auto" w:fill="FFFFFF" w:val="clear"/>
          </w:tcPr>
          <w:p>
            <w:pPr>
              <w:pStyle w:val="Normal"/>
              <w:widowControl w:val="false"/>
              <w:tabs>
                <w:tab w:val="clear" w:pos="720"/>
                <w:tab w:val="left" w:pos="317" w:leader="none"/>
              </w:tabs>
              <w:spacing w:lineRule="atLeast" w:line="100" w:before="0" w:after="80"/>
              <w:rPr/>
            </w:pPr>
            <w:r>
              <w:rPr>
                <w:rFonts w:eastAsia="Arial" w:cs="Arial" w:ascii="Arial" w:hAnsi="Arial"/>
              </w:rPr>
              <w:t xml:space="preserve">4.2. </w:t>
            </w:r>
            <w:r>
              <w:rPr>
                <w:rFonts w:eastAsia="Arial" w:cs="Arial" w:ascii="Arial" w:hAnsi="Arial"/>
                <w:b/>
                <w:bCs/>
              </w:rPr>
              <w:t>MCS Certification</w:t>
            </w:r>
            <w:r>
              <w:rPr>
                <w:rFonts w:eastAsia="Arial" w:cs="Arial" w:ascii="Arial" w:hAnsi="Arial"/>
              </w:rPr>
              <w:t xml:space="preserve">: Ken has received notification about costs. We have already paid for a site evaluation. Ian has calculated that the income from FIT payments will not outweigh the charge to get the certificate. Our decision is to </w:t>
            </w:r>
            <w:r>
              <w:rPr>
                <w:rFonts w:eastAsia="Arial" w:cs="Arial" w:ascii="Arial" w:hAnsi="Arial"/>
                <w:b/>
                <w:bCs/>
              </w:rPr>
              <w:t>not</w:t>
            </w:r>
            <w:r>
              <w:rPr>
                <w:rFonts w:eastAsia="Arial" w:cs="Arial" w:ascii="Arial" w:hAnsi="Arial"/>
              </w:rPr>
              <w:t xml:space="preserve"> go ahead.</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0" w:after="0"/>
              <w:jc w:val="center"/>
              <w:rPr>
                <w:rFonts w:ascii="Arial" w:hAnsi="Arial" w:eastAsia="Arial" w:cs="Arial"/>
                <w:sz w:val="18"/>
                <w:szCs w:val="18"/>
              </w:rPr>
            </w:pPr>
            <w:r>
              <w:rPr>
                <w:rFonts w:eastAsia="Arial" w:cs="Arial" w:ascii="Arial" w:hAnsi="Arial"/>
                <w:sz w:val="18"/>
                <w:szCs w:val="18"/>
              </w:rPr>
            </w:r>
          </w:p>
        </w:tc>
      </w:tr>
      <w:tr>
        <w:trPr>
          <w:trHeight w:val="589" w:hRule="atLeast"/>
        </w:trPr>
        <w:tc>
          <w:tcPr>
            <w:tcW w:w="1740" w:type="dxa"/>
            <w:tcBorders>
              <w:left w:val="single" w:sz="4" w:space="0" w:color="000000"/>
            </w:tcBorders>
            <w:shd w:color="auto" w:fill="FFFFFF" w:val="clear"/>
          </w:tcPr>
          <w:p>
            <w:pPr>
              <w:pStyle w:val="Normal"/>
              <w:widowControl w:val="false"/>
              <w:snapToGrid w:val="false"/>
              <w:spacing w:lineRule="atLeast" w:line="100" w:before="0" w:after="0"/>
              <w:rPr>
                <w:rFonts w:ascii="Arial" w:hAnsi="Arial" w:eastAsia="Arial" w:cs="Arial"/>
                <w:sz w:val="21"/>
                <w:szCs w:val="21"/>
              </w:rPr>
            </w:pPr>
            <w:r>
              <w:rPr>
                <w:rFonts w:eastAsia="Arial" w:cs="Arial" w:ascii="Arial" w:hAnsi="Arial"/>
                <w:sz w:val="21"/>
                <w:szCs w:val="21"/>
              </w:rPr>
            </w:r>
          </w:p>
        </w:tc>
        <w:tc>
          <w:tcPr>
            <w:tcW w:w="7027" w:type="dxa"/>
            <w:tcBorders>
              <w:left w:val="single" w:sz="4" w:space="0" w:color="000000"/>
            </w:tcBorders>
            <w:shd w:color="auto" w:fill="FFFFFF" w:val="clear"/>
          </w:tcPr>
          <w:p>
            <w:pPr>
              <w:pStyle w:val="Normal"/>
              <w:widowControl w:val="false"/>
              <w:tabs>
                <w:tab w:val="clear" w:pos="720"/>
                <w:tab w:val="left" w:pos="317" w:leader="none"/>
              </w:tabs>
              <w:spacing w:lineRule="atLeast" w:line="100" w:before="0" w:after="80"/>
              <w:rPr/>
            </w:pPr>
            <w:r>
              <w:rPr>
                <w:rFonts w:eastAsia="Arial" w:cs="Arial" w:ascii="Arial" w:hAnsi="Arial"/>
              </w:rPr>
              <w:t xml:space="preserve">4.3. </w:t>
            </w:r>
            <w:r>
              <w:rPr>
                <w:rFonts w:eastAsia="Arial" w:cs="Arial" w:ascii="Arial" w:hAnsi="Arial"/>
                <w:b/>
                <w:bCs/>
              </w:rPr>
              <w:t>Updated Budget plan 2026</w:t>
            </w:r>
            <w:r>
              <w:rPr>
                <w:rFonts w:eastAsia="Arial" w:cs="Arial" w:ascii="Arial" w:hAnsi="Arial"/>
              </w:rPr>
              <w:t>: Ian’s plan will be reissued once the TIN Arts is is clear.</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0" w:after="0"/>
              <w:jc w:val="center"/>
              <w:rPr>
                <w:rFonts w:ascii="Arial" w:hAnsi="Arial" w:eastAsia="Arial" w:cs="Arial"/>
                <w:sz w:val="18"/>
                <w:szCs w:val="18"/>
              </w:rPr>
            </w:pPr>
            <w:r>
              <w:rPr>
                <w:rFonts w:eastAsia="Arial" w:cs="Arial" w:ascii="Arial" w:hAnsi="Arial"/>
                <w:sz w:val="18"/>
                <w:szCs w:val="18"/>
              </w:rPr>
            </w:r>
          </w:p>
        </w:tc>
      </w:tr>
      <w:tr>
        <w:trPr>
          <w:trHeight w:val="621" w:hRule="atLeast"/>
        </w:trPr>
        <w:tc>
          <w:tcPr>
            <w:tcW w:w="1740" w:type="dxa"/>
            <w:tcBorders>
              <w:left w:val="single" w:sz="4" w:space="0" w:color="000000"/>
            </w:tcBorders>
            <w:shd w:color="auto" w:fill="FFFFFF" w:val="clear"/>
          </w:tcPr>
          <w:p>
            <w:pPr>
              <w:pStyle w:val="Normal"/>
              <w:widowControl w:val="false"/>
              <w:snapToGrid w:val="false"/>
              <w:spacing w:lineRule="atLeast" w:line="100" w:before="0" w:after="0"/>
              <w:rPr>
                <w:rFonts w:ascii="Arial" w:hAnsi="Arial" w:eastAsia="Arial" w:cs="Arial"/>
                <w:sz w:val="21"/>
                <w:szCs w:val="21"/>
              </w:rPr>
            </w:pPr>
            <w:r>
              <w:rPr>
                <w:rFonts w:eastAsia="Arial" w:cs="Arial" w:ascii="Arial" w:hAnsi="Arial"/>
                <w:sz w:val="21"/>
                <w:szCs w:val="21"/>
              </w:rPr>
            </w:r>
          </w:p>
        </w:tc>
        <w:tc>
          <w:tcPr>
            <w:tcW w:w="7027" w:type="dxa"/>
            <w:tcBorders>
              <w:left w:val="single" w:sz="4" w:space="0" w:color="000000"/>
            </w:tcBorders>
            <w:shd w:color="auto" w:fill="FFFFFF" w:val="clear"/>
          </w:tcPr>
          <w:p>
            <w:pPr>
              <w:pStyle w:val="Normal"/>
              <w:widowControl w:val="false"/>
              <w:tabs>
                <w:tab w:val="clear" w:pos="720"/>
                <w:tab w:val="left" w:pos="317" w:leader="none"/>
              </w:tabs>
              <w:spacing w:lineRule="atLeast" w:line="100" w:before="0" w:after="80"/>
              <w:rPr/>
            </w:pPr>
            <w:r>
              <w:rPr>
                <w:rFonts w:eastAsia="Arial" w:cs="Arial" w:ascii="Arial" w:hAnsi="Arial"/>
              </w:rPr>
              <w:t xml:space="preserve">4.4. </w:t>
            </w:r>
            <w:r>
              <w:rPr>
                <w:rFonts w:eastAsia="Arial" w:cs="Arial" w:ascii="Arial" w:hAnsi="Arial"/>
                <w:b/>
                <w:bCs/>
              </w:rPr>
              <w:t>Compliance role</w:t>
            </w:r>
            <w:r>
              <w:rPr>
                <w:rFonts w:eastAsia="Arial" w:cs="Arial" w:ascii="Arial" w:hAnsi="Arial"/>
              </w:rPr>
              <w:t>: Ken has drawn up a list of compliance issues which need to be addressed from 1 April onwards. Jim has offered to add an additional 4 hours per week on Friday mornings, to his role to focus on compliance issues but we still need another person. Are any trustees with a background in compliance interested in this paid role? Otherwise we will advertise for an additional person to undertake this role. Malcolm questioned the rate of pay and Ian indicated that it may be in the range of £14-15 per hour</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uto" w:line="240" w:before="57" w:after="0"/>
              <w:jc w:val="center"/>
              <w:rPr>
                <w:rFonts w:ascii="Arial" w:hAnsi="Arial" w:eastAsia="Arial" w:cs="Arial"/>
                <w:sz w:val="18"/>
                <w:szCs w:val="18"/>
              </w:rPr>
            </w:pPr>
            <w:r>
              <w:rPr>
                <w:rFonts w:eastAsia="Arial" w:cs="Arial" w:ascii="Arial" w:hAnsi="Arial"/>
                <w:sz w:val="18"/>
                <w:szCs w:val="18"/>
              </w:rPr>
            </w:r>
          </w:p>
        </w:tc>
      </w:tr>
      <w:tr>
        <w:trPr>
          <w:trHeight w:val="621" w:hRule="atLeast"/>
        </w:trPr>
        <w:tc>
          <w:tcPr>
            <w:tcW w:w="1740" w:type="dxa"/>
            <w:tcBorders>
              <w:left w:val="single" w:sz="4" w:space="0" w:color="000000"/>
            </w:tcBorders>
            <w:shd w:color="auto" w:fill="FFFFFF" w:val="clear"/>
          </w:tcPr>
          <w:p>
            <w:pPr>
              <w:pStyle w:val="Normal"/>
              <w:widowControl w:val="false"/>
              <w:snapToGrid w:val="false"/>
              <w:spacing w:lineRule="atLeast" w:line="100" w:before="0" w:after="0"/>
              <w:rPr>
                <w:rFonts w:ascii="Arial" w:hAnsi="Arial" w:eastAsia="Arial" w:cs="Arial"/>
                <w:sz w:val="21"/>
                <w:szCs w:val="21"/>
              </w:rPr>
            </w:pPr>
            <w:r>
              <w:rPr>
                <w:rFonts w:eastAsia="Arial" w:cs="Arial" w:ascii="Arial" w:hAnsi="Arial"/>
                <w:sz w:val="21"/>
                <w:szCs w:val="21"/>
              </w:rPr>
            </w:r>
          </w:p>
        </w:tc>
        <w:tc>
          <w:tcPr>
            <w:tcW w:w="7027" w:type="dxa"/>
            <w:tcBorders>
              <w:left w:val="single" w:sz="4" w:space="0" w:color="000000"/>
            </w:tcBorders>
            <w:shd w:color="auto" w:fill="FFFFFF" w:val="clear"/>
          </w:tcPr>
          <w:p>
            <w:pPr>
              <w:pStyle w:val="Normal"/>
              <w:widowControl w:val="false"/>
              <w:tabs>
                <w:tab w:val="clear" w:pos="720"/>
                <w:tab w:val="left" w:pos="317" w:leader="none"/>
              </w:tabs>
              <w:spacing w:lineRule="atLeast" w:line="100" w:before="0" w:after="80"/>
              <w:rPr/>
            </w:pPr>
            <w:r>
              <w:rPr>
                <w:rFonts w:eastAsia="Arial" w:cs="Arial" w:ascii="Arial" w:hAnsi="Arial"/>
              </w:rPr>
              <w:t xml:space="preserve">4.5. </w:t>
            </w:r>
            <w:r>
              <w:rPr>
                <w:rFonts w:eastAsia="Arial" w:cs="Arial" w:ascii="Arial" w:hAnsi="Arial"/>
                <w:b/>
                <w:bCs/>
              </w:rPr>
              <w:t>Renaming halls</w:t>
            </w:r>
            <w:r>
              <w:rPr>
                <w:rFonts w:eastAsia="Arial" w:cs="Arial" w:ascii="Arial" w:hAnsi="Arial"/>
              </w:rPr>
              <w:t>:</w:t>
            </w:r>
          </w:p>
          <w:p>
            <w:pPr>
              <w:pStyle w:val="Normal"/>
              <w:widowControl w:val="false"/>
              <w:tabs>
                <w:tab w:val="clear" w:pos="720"/>
                <w:tab w:val="left" w:pos="317" w:leader="none"/>
              </w:tabs>
              <w:spacing w:lineRule="atLeast" w:line="100" w:before="0" w:after="80"/>
              <w:rPr>
                <w:rFonts w:ascii="Arial" w:hAnsi="Arial" w:eastAsia="Arial" w:cs="Arial"/>
              </w:rPr>
            </w:pPr>
            <w:r>
              <w:rPr>
                <w:rFonts w:eastAsia="Arial" w:cs="Arial" w:ascii="Arial" w:hAnsi="Arial"/>
              </w:rPr>
              <w:t>1-Main adult hall</w:t>
              <w:tab/>
            </w:r>
            <w:r>
              <w:rPr>
                <w:rFonts w:eastAsia="Arial" w:cs="Arial" w:ascii="Arial" w:hAnsi="Arial"/>
                <w:b/>
                <w:bCs/>
              </w:rPr>
              <w:t>Hall 2: Harvey</w:t>
            </w:r>
          </w:p>
          <w:p>
            <w:pPr>
              <w:pStyle w:val="Normal"/>
              <w:widowControl w:val="false"/>
              <w:tabs>
                <w:tab w:val="clear" w:pos="720"/>
                <w:tab w:val="left" w:pos="317" w:leader="none"/>
              </w:tabs>
              <w:spacing w:lineRule="atLeast" w:line="100" w:before="0" w:after="80"/>
              <w:rPr>
                <w:rFonts w:ascii="Arial" w:hAnsi="Arial" w:eastAsia="Arial" w:cs="Arial"/>
              </w:rPr>
            </w:pPr>
            <w:r>
              <w:rPr>
                <w:rFonts w:eastAsia="Arial" w:cs="Arial" w:ascii="Arial" w:hAnsi="Arial"/>
              </w:rPr>
              <w:t>2-Main Youth Hall</w:t>
              <w:tab/>
            </w:r>
            <w:r>
              <w:rPr>
                <w:rFonts w:eastAsia="Arial" w:cs="Arial" w:ascii="Arial" w:hAnsi="Arial"/>
                <w:b/>
                <w:bCs/>
              </w:rPr>
              <w:t>Hall 3: Hutton</w:t>
            </w:r>
          </w:p>
          <w:p>
            <w:pPr>
              <w:pStyle w:val="Normal"/>
              <w:widowControl w:val="false"/>
              <w:tabs>
                <w:tab w:val="clear" w:pos="720"/>
                <w:tab w:val="left" w:pos="317" w:leader="none"/>
              </w:tabs>
              <w:spacing w:lineRule="atLeast" w:line="100" w:before="0" w:after="80"/>
              <w:rPr>
                <w:rFonts w:ascii="Arial" w:hAnsi="Arial" w:eastAsia="Arial" w:cs="Arial"/>
              </w:rPr>
            </w:pPr>
            <w:r>
              <w:rPr>
                <w:rFonts w:eastAsia="Arial" w:cs="Arial" w:ascii="Arial" w:hAnsi="Arial"/>
              </w:rPr>
              <w:t xml:space="preserve">3-Youth Hall Kitchen  </w:t>
            </w:r>
            <w:r>
              <w:rPr>
                <w:rFonts w:eastAsia="Arial" w:cs="Arial" w:ascii="Arial" w:hAnsi="Arial"/>
                <w:b/>
                <w:bCs/>
              </w:rPr>
              <w:t>Hall 3 Kitchen area: Victoria</w:t>
            </w:r>
          </w:p>
          <w:p>
            <w:pPr>
              <w:pStyle w:val="Normal"/>
              <w:widowControl w:val="false"/>
              <w:tabs>
                <w:tab w:val="clear" w:pos="720"/>
                <w:tab w:val="left" w:pos="317" w:leader="none"/>
              </w:tabs>
              <w:spacing w:lineRule="atLeast" w:line="100" w:before="0" w:after="80"/>
              <w:rPr>
                <w:rFonts w:ascii="Arial" w:hAnsi="Arial" w:eastAsia="Arial" w:cs="Arial"/>
              </w:rPr>
            </w:pPr>
            <w:r>
              <w:rPr>
                <w:rFonts w:eastAsia="Arial" w:cs="Arial" w:ascii="Arial" w:hAnsi="Arial"/>
              </w:rPr>
              <w:t>4-Dance Studio</w:t>
              <w:tab/>
            </w:r>
            <w:r>
              <w:rPr>
                <w:rFonts w:eastAsia="Arial" w:cs="Arial" w:ascii="Arial" w:hAnsi="Arial"/>
                <w:b/>
                <w:bCs/>
              </w:rPr>
              <w:t>Hall 1: Brockwell</w:t>
            </w:r>
          </w:p>
          <w:p>
            <w:pPr>
              <w:pStyle w:val="Normal"/>
              <w:widowControl w:val="false"/>
              <w:tabs>
                <w:tab w:val="clear" w:pos="720"/>
                <w:tab w:val="left" w:pos="317" w:leader="none"/>
              </w:tabs>
              <w:spacing w:lineRule="atLeast" w:line="100" w:before="0" w:after="80"/>
              <w:rPr>
                <w:rFonts w:ascii="Arial" w:hAnsi="Arial" w:eastAsia="Arial" w:cs="Arial"/>
              </w:rPr>
            </w:pPr>
            <w:r>
              <w:rPr>
                <w:rFonts w:eastAsia="Arial" w:cs="Arial" w:ascii="Arial" w:hAnsi="Arial"/>
              </w:rPr>
              <w:t>5-Green Room</w:t>
              <w:tab/>
            </w:r>
            <w:r>
              <w:rPr>
                <w:rFonts w:eastAsia="Arial" w:cs="Arial" w:ascii="Arial" w:hAnsi="Arial"/>
                <w:b/>
                <w:bCs/>
              </w:rPr>
              <w:t>Hall 1 Room: Tilly</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uto" w:line="240" w:before="57" w:after="0"/>
              <w:jc w:val="center"/>
              <w:rPr>
                <w:rFonts w:ascii="Arial" w:hAnsi="Arial" w:eastAsia="Arial" w:cs="Arial"/>
                <w:sz w:val="18"/>
                <w:szCs w:val="18"/>
              </w:rPr>
            </w:pPr>
            <w:r>
              <w:rPr>
                <w:rFonts w:eastAsia="Arial" w:cs="Arial" w:ascii="Arial" w:hAnsi="Arial"/>
                <w:sz w:val="18"/>
                <w:szCs w:val="18"/>
              </w:rPr>
            </w:r>
          </w:p>
        </w:tc>
      </w:tr>
      <w:tr>
        <w:trPr>
          <w:trHeight w:val="481" w:hRule="atLeast"/>
        </w:trPr>
        <w:tc>
          <w:tcPr>
            <w:tcW w:w="1740" w:type="dxa"/>
            <w:tcBorders>
              <w:left w:val="single" w:sz="4" w:space="0" w:color="000000"/>
            </w:tcBorders>
            <w:shd w:color="auto" w:fill="FFFFFF" w:val="clear"/>
          </w:tcPr>
          <w:p>
            <w:pPr>
              <w:pStyle w:val="Normal"/>
              <w:widowControl w:val="false"/>
              <w:snapToGrid w:val="false"/>
              <w:spacing w:lineRule="atLeast" w:line="100" w:before="0" w:after="0"/>
              <w:rPr>
                <w:rFonts w:ascii="Arial" w:hAnsi="Arial" w:eastAsia="Arial" w:cs="Arial"/>
                <w:sz w:val="21"/>
                <w:szCs w:val="21"/>
              </w:rPr>
            </w:pPr>
            <w:r>
              <w:rPr>
                <w:rFonts w:eastAsia="Arial" w:cs="Arial" w:ascii="Arial" w:hAnsi="Arial"/>
                <w:sz w:val="21"/>
                <w:szCs w:val="21"/>
              </w:rPr>
            </w:r>
          </w:p>
        </w:tc>
        <w:tc>
          <w:tcPr>
            <w:tcW w:w="7027" w:type="dxa"/>
            <w:tcBorders>
              <w:left w:val="single" w:sz="4" w:space="0" w:color="000000"/>
            </w:tcBorders>
            <w:shd w:color="auto" w:fill="FFFFFF" w:val="clear"/>
          </w:tcPr>
          <w:p>
            <w:pPr>
              <w:pStyle w:val="Normal"/>
              <w:widowControl w:val="false"/>
              <w:tabs>
                <w:tab w:val="clear" w:pos="720"/>
                <w:tab w:val="left" w:pos="317" w:leader="none"/>
              </w:tabs>
              <w:spacing w:lineRule="auto" w:line="240" w:before="57" w:after="57"/>
              <w:rPr/>
            </w:pPr>
            <w:r>
              <w:rPr>
                <w:rFonts w:eastAsia="Arial" w:cs="Arial" w:ascii="Arial" w:hAnsi="Arial"/>
              </w:rPr>
              <w:t xml:space="preserve">4.6. </w:t>
            </w:r>
            <w:r>
              <w:rPr>
                <w:rFonts w:eastAsia="Arial" w:cs="Arial" w:ascii="Arial" w:hAnsi="Arial"/>
                <w:b/>
                <w:bCs/>
              </w:rPr>
              <w:t>Update on replacing TIN Arts</w:t>
            </w:r>
            <w:r>
              <w:rPr>
                <w:rFonts w:eastAsia="Arial" w:cs="Arial" w:ascii="Arial" w:hAnsi="Arial"/>
              </w:rPr>
              <w:t>: DCC Integrating (David Gaudie) has expressed an interest in hiring Hall 1: Brockwell and an office space and visited the Centre. He has to consult his Trustees and would let us know by the end of January.</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uto" w:line="240" w:before="57" w:after="0"/>
              <w:jc w:val="center"/>
              <w:rPr>
                <w:rFonts w:ascii="Arial" w:hAnsi="Arial" w:eastAsia="Arial" w:cs="Arial"/>
                <w:sz w:val="18"/>
                <w:szCs w:val="18"/>
              </w:rPr>
            </w:pPr>
            <w:r>
              <w:rPr>
                <w:rFonts w:eastAsia="Arial" w:cs="Arial" w:ascii="Arial" w:hAnsi="Arial"/>
                <w:sz w:val="18"/>
                <w:szCs w:val="18"/>
              </w:rPr>
              <w:t>Peter to request an update</w:t>
            </w:r>
          </w:p>
        </w:tc>
      </w:tr>
      <w:tr>
        <w:trPr>
          <w:trHeight w:val="6030" w:hRule="atLeast"/>
        </w:trPr>
        <w:tc>
          <w:tcPr>
            <w:tcW w:w="1740" w:type="dxa"/>
            <w:tcBorders>
              <w:top w:val="single" w:sz="4" w:space="0" w:color="000000"/>
              <w:left w:val="single" w:sz="4" w:space="0" w:color="000000"/>
            </w:tcBorders>
            <w:shd w:color="auto" w:fill="FFFFFF" w:val="clear"/>
          </w:tcPr>
          <w:p>
            <w:pPr>
              <w:pStyle w:val="Normal"/>
              <w:widowControl w:val="false"/>
              <w:spacing w:lineRule="atLeast" w:line="100" w:before="57" w:after="57"/>
              <w:rPr>
                <w:rFonts w:ascii="Arial" w:hAnsi="Arial" w:eastAsia="Times New Roman" w:cs="Arial"/>
                <w:b/>
                <w:sz w:val="21"/>
                <w:szCs w:val="21"/>
                <w:lang w:eastAsia="en-US"/>
              </w:rPr>
            </w:pPr>
            <w:r>
              <w:rPr>
                <w:rFonts w:eastAsia="Times New Roman" w:cs="Arial" w:ascii="Arial" w:hAnsi="Arial"/>
                <w:b/>
                <w:sz w:val="21"/>
                <w:szCs w:val="21"/>
                <w:lang w:eastAsia="en-US"/>
              </w:rPr>
              <w:t>5. Treasurers report</w:t>
            </w:r>
          </w:p>
        </w:tc>
        <w:tc>
          <w:tcPr>
            <w:tcW w:w="7027" w:type="dxa"/>
            <w:tcBorders>
              <w:top w:val="single" w:sz="4" w:space="0" w:color="000000"/>
              <w:left w:val="single" w:sz="4" w:space="0" w:color="000000"/>
            </w:tcBorders>
            <w:shd w:color="auto" w:fill="FFFFFF" w:val="clear"/>
          </w:tcPr>
          <w:p>
            <w:pPr>
              <w:pStyle w:val="Normal"/>
              <w:widowControl w:val="false"/>
              <w:tabs>
                <w:tab w:val="clear" w:pos="720"/>
                <w:tab w:val="left" w:pos="317" w:leader="none"/>
              </w:tabs>
              <w:spacing w:lineRule="auto" w:line="240" w:before="57" w:after="57"/>
              <w:rPr/>
            </w:pPr>
            <w:r>
              <w:rPr>
                <w:rFonts w:eastAsia="Arial" w:cs="Arial" w:ascii="Arial" w:hAnsi="Arial"/>
                <w:color w:val="000000"/>
              </w:rPr>
              <w:t xml:space="preserve">5.1. </w:t>
            </w:r>
            <w:r>
              <w:rPr>
                <w:rFonts w:eastAsia="Arial" w:cs="Arial" w:ascii="Arial" w:hAnsi="Arial"/>
                <w:b/>
                <w:bCs/>
                <w:color w:val="000000"/>
              </w:rPr>
              <w:t xml:space="preserve">Financial report: Cash Accounts to 31/12/2025 </w:t>
            </w:r>
            <w:r>
              <w:rPr>
                <w:rFonts w:eastAsia="Arial" w:cs="Arial" w:ascii="Arial" w:hAnsi="Arial"/>
                <w:b w:val="false"/>
                <w:bCs w:val="false"/>
                <w:color w:val="000000"/>
              </w:rPr>
              <w:t>-</w:t>
            </w:r>
            <w:r>
              <w:rPr>
                <w:rFonts w:eastAsia="Arial" w:cs="Arial" w:ascii="Arial" w:hAnsi="Arial"/>
                <w:b/>
                <w:bCs/>
                <w:color w:val="000000"/>
              </w:rPr>
              <w:t xml:space="preserve"> </w:t>
            </w:r>
            <w:r>
              <w:rPr>
                <w:rFonts w:eastAsia="Arial" w:cs="Arial" w:ascii="Arial" w:hAnsi="Arial"/>
                <w:b w:val="false"/>
                <w:bCs w:val="false"/>
                <w:color w:val="000000"/>
              </w:rPr>
              <w:t>Ian reported:</w:t>
            </w:r>
          </w:p>
          <w:p>
            <w:pPr>
              <w:pStyle w:val="Normal"/>
              <w:widowControl w:val="false"/>
              <w:tabs>
                <w:tab w:val="clear" w:pos="720"/>
                <w:tab w:val="left" w:pos="317" w:leader="none"/>
              </w:tabs>
              <w:spacing w:lineRule="atLeast" w:line="100" w:before="0" w:after="113"/>
              <w:rPr/>
            </w:pPr>
            <w:r>
              <w:rPr>
                <w:rFonts w:eastAsia="Arial" w:cs="Arial" w:ascii="Arial" w:hAnsi="Arial"/>
                <w:b w:val="false"/>
                <w:bCs w:val="false"/>
                <w:color w:val="000000"/>
              </w:rPr>
              <w:t xml:space="preserve">(a) </w:t>
            </w:r>
            <w:r>
              <w:rPr>
                <w:rFonts w:eastAsia="Arial" w:cs="Arial" w:ascii="Arial" w:hAnsi="Arial"/>
                <w:b/>
                <w:bCs/>
                <w:color w:val="000000"/>
              </w:rPr>
              <w:t>Receipts:</w:t>
            </w:r>
            <w:r>
              <w:rPr>
                <w:rFonts w:eastAsia="Arial" w:cs="Arial" w:ascii="Arial" w:hAnsi="Arial"/>
                <w:color w:val="000000"/>
              </w:rPr>
              <w:t xml:space="preserve"> amounted to £99,983 in the 12 months, which is £15,102 ahead of budget, but behind the same period last year due to lower grant receipts.</w:t>
            </w:r>
          </w:p>
          <w:p>
            <w:pPr>
              <w:pStyle w:val="Normal"/>
              <w:widowControl w:val="false"/>
              <w:tabs>
                <w:tab w:val="clear" w:pos="720"/>
                <w:tab w:val="left" w:pos="317" w:leader="none"/>
              </w:tabs>
              <w:spacing w:lineRule="atLeast" w:line="100" w:before="0" w:after="113"/>
              <w:rPr>
                <w:rFonts w:ascii="Arial" w:hAnsi="Arial" w:eastAsia="Arial" w:cs="Arial"/>
                <w:color w:val="000000"/>
              </w:rPr>
            </w:pPr>
            <w:r>
              <w:rPr>
                <w:rFonts w:eastAsia="Arial" w:cs="Arial" w:ascii="Arial" w:hAnsi="Arial"/>
                <w:color w:val="000000"/>
              </w:rPr>
              <w:t>General room hire receipts were £46,024 which was £1,970 lower than budget but ahead of last year. TIN Arts room hire at £18,349 and Office hire receipts at £8,686 were above budget and last year. (We had assumed that TIN Arts would have the vacated premises after the Summer holidays)</w:t>
            </w:r>
          </w:p>
          <w:p>
            <w:pPr>
              <w:pStyle w:val="Normal"/>
              <w:widowControl w:val="false"/>
              <w:tabs>
                <w:tab w:val="clear" w:pos="720"/>
                <w:tab w:val="left" w:pos="317" w:leader="none"/>
              </w:tabs>
              <w:spacing w:lineRule="atLeast" w:line="100" w:before="0" w:after="113"/>
              <w:rPr>
                <w:rFonts w:ascii="Arial" w:hAnsi="Arial" w:eastAsia="Arial" w:cs="Arial"/>
                <w:color w:val="000000"/>
              </w:rPr>
            </w:pPr>
            <w:r>
              <w:rPr>
                <w:rFonts w:eastAsia="Arial" w:cs="Arial" w:ascii="Arial" w:hAnsi="Arial"/>
                <w:color w:val="000000"/>
              </w:rPr>
              <w:t>Other office hire was slightly ahead of budget and last year.</w:t>
            </w:r>
          </w:p>
          <w:p>
            <w:pPr>
              <w:pStyle w:val="Normal"/>
              <w:widowControl w:val="false"/>
              <w:tabs>
                <w:tab w:val="clear" w:pos="720"/>
                <w:tab w:val="left" w:pos="317" w:leader="none"/>
              </w:tabs>
              <w:spacing w:lineRule="atLeast" w:line="100" w:before="0" w:after="113"/>
              <w:rPr>
                <w:color w:val="000000"/>
              </w:rPr>
            </w:pPr>
            <w:r>
              <w:rPr>
                <w:rFonts w:eastAsia="Arial" w:cs="Arial" w:ascii="Arial" w:hAnsi="Arial"/>
                <w:color w:val="000000"/>
              </w:rPr>
              <w:t xml:space="preserve">(b) </w:t>
            </w:r>
            <w:r>
              <w:rPr>
                <w:rFonts w:eastAsia="Arial" w:cs="Arial" w:ascii="Arial" w:hAnsi="Arial"/>
                <w:b/>
                <w:bCs/>
                <w:color w:val="000000"/>
              </w:rPr>
              <w:t>Expenditure:</w:t>
            </w:r>
            <w:r>
              <w:rPr>
                <w:rFonts w:eastAsia="Arial" w:cs="Arial" w:ascii="Arial" w:hAnsi="Arial"/>
                <w:color w:val="000000"/>
              </w:rPr>
              <w:t xml:space="preserve"> to £112,959 in the year, which is £31,338 less than the original budget This is largely due to lower spend on the School House development and spend on maintenance cost and equipment. There were lower amounts spent on insurance and Wellbeing activities.</w:t>
            </w:r>
          </w:p>
          <w:p>
            <w:pPr>
              <w:pStyle w:val="Normal"/>
              <w:widowControl w:val="false"/>
              <w:tabs>
                <w:tab w:val="clear" w:pos="720"/>
                <w:tab w:val="left" w:pos="317" w:leader="none"/>
              </w:tabs>
              <w:spacing w:lineRule="atLeast" w:line="100" w:before="0" w:after="113"/>
              <w:rPr>
                <w:color w:val="000000"/>
              </w:rPr>
            </w:pPr>
            <w:r>
              <w:rPr>
                <w:rFonts w:eastAsia="Arial" w:cs="Arial" w:ascii="Arial" w:hAnsi="Arial"/>
                <w:color w:val="000000"/>
              </w:rPr>
              <w:t>Net funds out flow for the period was £12,975, giving a balance at bank and in hand of £122,382 as at the period end.</w:t>
            </w:r>
          </w:p>
          <w:p>
            <w:pPr>
              <w:pStyle w:val="Normal"/>
              <w:widowControl w:val="false"/>
              <w:tabs>
                <w:tab w:val="clear" w:pos="720"/>
                <w:tab w:val="left" w:pos="317" w:leader="none"/>
              </w:tabs>
              <w:spacing w:lineRule="atLeast" w:line="100" w:before="0" w:after="113"/>
              <w:rPr>
                <w:color w:val="000000"/>
              </w:rPr>
            </w:pPr>
            <w:r>
              <w:rPr>
                <w:rFonts w:eastAsia="Arial" w:cs="Arial" w:ascii="Arial" w:hAnsi="Arial"/>
                <w:color w:val="000000"/>
              </w:rPr>
              <w:t>The bulk of the funds on hand remain on deposit with the Cooperative Bank Bank and United Trust Bank.</w:t>
            </w:r>
          </w:p>
          <w:p>
            <w:pPr>
              <w:pStyle w:val="Normal"/>
              <w:widowControl w:val="false"/>
              <w:tabs>
                <w:tab w:val="clear" w:pos="720"/>
                <w:tab w:val="left" w:pos="317" w:leader="none"/>
              </w:tabs>
              <w:spacing w:lineRule="atLeast" w:line="100" w:before="0" w:after="113"/>
              <w:rPr>
                <w:color w:val="000000"/>
              </w:rPr>
            </w:pPr>
            <w:r>
              <w:rPr>
                <w:rFonts w:eastAsia="Arial" w:cs="Arial" w:ascii="Arial" w:hAnsi="Arial"/>
                <w:color w:val="000000"/>
              </w:rPr>
              <w:t xml:space="preserve">(c) </w:t>
            </w:r>
            <w:r>
              <w:rPr>
                <w:rFonts w:eastAsia="Arial" w:cs="Arial" w:ascii="Arial" w:hAnsi="Arial"/>
                <w:b/>
                <w:bCs/>
                <w:color w:val="000000"/>
              </w:rPr>
              <w:t xml:space="preserve">Reserves: </w:t>
            </w:r>
            <w:r>
              <w:rPr>
                <w:rFonts w:eastAsia="Arial" w:cs="Arial" w:ascii="Arial" w:hAnsi="Arial"/>
                <w:b w:val="false"/>
                <w:bCs w:val="false"/>
                <w:color w:val="000000"/>
              </w:rPr>
              <w:t>Restricted funds at 31 December were £3,824, being the Point North grant received for Wellbeing. The balance on the Repairs fund is now £54,626. This reflects the funds set side for the balance of the expected cost of works at the School House and also other anticipated ongoing repairs and improvements. The balance on Unrestricted cash funds was £63,932 at 31 December. These balances will be reviewed as part of the exercise to prepare accounts in a format suitable for publication</w:t>
            </w:r>
          </w:p>
        </w:tc>
        <w:tc>
          <w:tcPr>
            <w:tcW w:w="1538" w:type="dxa"/>
            <w:tcBorders>
              <w:top w:val="single" w:sz="4" w:space="0" w:color="000000"/>
              <w:left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color w:val="000000"/>
                <w:sz w:val="18"/>
                <w:szCs w:val="18"/>
              </w:rPr>
            </w:pPr>
            <w:r>
              <w:rPr>
                <w:rFonts w:eastAsia="Arial" w:cs="Arial" w:ascii="Arial" w:hAnsi="Arial"/>
                <w:color w:val="000000"/>
                <w:sz w:val="18"/>
                <w:szCs w:val="18"/>
              </w:rPr>
            </w:r>
          </w:p>
        </w:tc>
      </w:tr>
      <w:tr>
        <w:trPr>
          <w:trHeight w:val="637" w:hRule="atLeast"/>
        </w:trPr>
        <w:tc>
          <w:tcPr>
            <w:tcW w:w="1740" w:type="dxa"/>
            <w:tcBorders>
              <w:left w:val="single" w:sz="4" w:space="0" w:color="000000"/>
            </w:tcBorders>
            <w:shd w:color="auto" w:fill="FFFFFF" w:val="clear"/>
          </w:tcPr>
          <w:p>
            <w:pPr>
              <w:pStyle w:val="Normal"/>
              <w:widowControl w:val="false"/>
              <w:spacing w:lineRule="auto" w:line="240" w:before="57" w:after="0"/>
              <w:rPr/>
            </w:pPr>
            <w:r>
              <w:rPr/>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tabs>
                <w:tab w:val="clear" w:pos="720"/>
                <w:tab w:val="left" w:pos="317" w:leader="none"/>
              </w:tabs>
              <w:spacing w:lineRule="auto" w:line="240" w:before="57" w:after="57"/>
              <w:rPr>
                <w:rFonts w:ascii="Arial" w:hAnsi="Arial"/>
              </w:rPr>
            </w:pPr>
            <w:r>
              <w:rPr>
                <w:rFonts w:ascii="Arial" w:hAnsi="Arial"/>
              </w:rPr>
              <w:t xml:space="preserve">5.2. </w:t>
            </w:r>
            <w:r>
              <w:rPr>
                <w:rFonts w:ascii="Arial" w:hAnsi="Arial"/>
                <w:b/>
                <w:bCs/>
              </w:rPr>
              <w:t>Energy</w:t>
            </w:r>
          </w:p>
          <w:p>
            <w:pPr>
              <w:pStyle w:val="Normal"/>
              <w:widowControl w:val="false"/>
              <w:tabs>
                <w:tab w:val="clear" w:pos="720"/>
                <w:tab w:val="left" w:pos="317" w:leader="none"/>
              </w:tabs>
              <w:spacing w:lineRule="auto" w:line="240" w:before="57" w:after="113"/>
              <w:rPr>
                <w:rFonts w:ascii="Arial" w:hAnsi="Arial"/>
              </w:rPr>
            </w:pPr>
            <w:r>
              <w:rPr>
                <w:rFonts w:ascii="Arial" w:hAnsi="Arial"/>
              </w:rPr>
              <w:t>Charts of the monthly energy consumption have been circulated.</w:t>
            </w:r>
          </w:p>
          <w:p>
            <w:pPr>
              <w:pStyle w:val="Normal"/>
              <w:widowControl w:val="false"/>
              <w:tabs>
                <w:tab w:val="clear" w:pos="720"/>
                <w:tab w:val="left" w:pos="317" w:leader="none"/>
              </w:tabs>
              <w:spacing w:lineRule="auto" w:line="240" w:before="57" w:after="113"/>
              <w:rPr>
                <w:rFonts w:ascii="Arial" w:hAnsi="Arial"/>
              </w:rPr>
            </w:pPr>
            <w:r>
              <w:rPr>
                <w:rFonts w:ascii="Arial" w:hAnsi="Arial"/>
                <w:b/>
                <w:bCs/>
              </w:rPr>
              <w:t>Gas</w:t>
            </w:r>
            <w:r>
              <w:rPr>
                <w:rFonts w:ascii="Arial" w:hAnsi="Arial"/>
              </w:rPr>
              <w:t>, is the main source of space heating and the Centre used around 63,500 kWh in 2025 which was slightly down on 2024, perhaps because of the sunny Spring. Recent gas consumption is running at only about 56% of the peak year in 2017, when the usage was around 113,500 kWh. However the cost of heating has increased significantly because of the expiry of the favourable gas contract at the start of 2025 and now amounts to around £9,000 pa.</w:t>
            </w:r>
          </w:p>
          <w:p>
            <w:pPr>
              <w:pStyle w:val="Normal"/>
              <w:widowControl w:val="false"/>
              <w:tabs>
                <w:tab w:val="clear" w:pos="720"/>
                <w:tab w:val="left" w:pos="317" w:leader="none"/>
              </w:tabs>
              <w:spacing w:lineRule="auto" w:line="240" w:before="57" w:after="113"/>
              <w:rPr>
                <w:rFonts w:ascii="Arial" w:hAnsi="Arial"/>
              </w:rPr>
            </w:pPr>
            <w:r>
              <w:rPr>
                <w:rFonts w:ascii="Arial" w:hAnsi="Arial"/>
                <w:b/>
                <w:bCs/>
              </w:rPr>
              <w:t>Electricity</w:t>
            </w:r>
            <w:r>
              <w:rPr>
                <w:rFonts w:ascii="Arial" w:hAnsi="Arial"/>
              </w:rPr>
              <w:t xml:space="preserve"> consumption in 2025 was very similar to that in 2024, being just short of 12,000 kWh. This reflects significant energy savings over the last 10 years (in 2017 the electricity consumption was around 20,000 kWh). Costs in 2025 fairly similar to 2024 at around £3,800 pa, but of course greatly in excess of previous years.</w:t>
            </w:r>
          </w:p>
          <w:p>
            <w:pPr>
              <w:pStyle w:val="Normal"/>
              <w:widowControl w:val="false"/>
              <w:tabs>
                <w:tab w:val="clear" w:pos="720"/>
                <w:tab w:val="left" w:pos="317" w:leader="none"/>
              </w:tabs>
              <w:spacing w:lineRule="auto" w:line="240" w:before="57" w:after="113"/>
              <w:rPr>
                <w:rFonts w:ascii="Arial" w:hAnsi="Arial"/>
              </w:rPr>
            </w:pPr>
            <w:r>
              <w:rPr>
                <w:rFonts w:ascii="Arial" w:hAnsi="Arial"/>
              </w:rPr>
              <w:t>Energy continues to be a large component of the overhead costs for the Association.</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sz w:val="18"/>
                <w:szCs w:val="18"/>
              </w:rPr>
            </w:pPr>
            <w:r>
              <w:rPr>
                <w:rFonts w:eastAsia="Arial" w:cs="Arial" w:ascii="Arial" w:hAnsi="Arial"/>
                <w:sz w:val="18"/>
                <w:szCs w:val="18"/>
              </w:rPr>
            </w:r>
          </w:p>
        </w:tc>
      </w:tr>
      <w:tr>
        <w:trPr>
          <w:trHeight w:val="637" w:hRule="atLeast"/>
        </w:trPr>
        <w:tc>
          <w:tcPr>
            <w:tcW w:w="1740" w:type="dxa"/>
            <w:tcBorders>
              <w:left w:val="single" w:sz="4" w:space="0" w:color="000000"/>
            </w:tcBorders>
            <w:shd w:color="auto" w:fill="FFFFFF" w:val="clear"/>
          </w:tcPr>
          <w:p>
            <w:pPr>
              <w:pStyle w:val="Normal"/>
              <w:widowControl w:val="false"/>
              <w:spacing w:lineRule="auto" w:line="240" w:before="57" w:after="0"/>
              <w:rPr/>
            </w:pPr>
            <w:r>
              <w:rPr/>
            </w:r>
          </w:p>
        </w:tc>
        <w:tc>
          <w:tcPr>
            <w:tcW w:w="7027" w:type="dxa"/>
            <w:tcBorders>
              <w:left w:val="single" w:sz="4" w:space="0" w:color="000000"/>
              <w:bottom w:val="single" w:sz="4" w:space="0" w:color="000000"/>
            </w:tcBorders>
            <w:shd w:color="auto" w:fill="FFFFFF" w:val="clear"/>
          </w:tcPr>
          <w:p>
            <w:pPr>
              <w:pStyle w:val="Normal"/>
              <w:widowControl w:val="false"/>
              <w:tabs>
                <w:tab w:val="clear" w:pos="720"/>
                <w:tab w:val="left" w:pos="317" w:leader="none"/>
              </w:tabs>
              <w:spacing w:lineRule="auto" w:line="240" w:before="57" w:after="113"/>
              <w:rPr>
                <w:rFonts w:ascii="Arial" w:hAnsi="Arial"/>
              </w:rPr>
            </w:pPr>
            <w:r>
              <w:rPr>
                <w:rFonts w:ascii="Arial" w:hAnsi="Arial"/>
              </w:rPr>
              <w:t xml:space="preserve">5.3. </w:t>
            </w:r>
            <w:r>
              <w:rPr>
                <w:rFonts w:ascii="Arial" w:hAnsi="Arial"/>
                <w:b/>
                <w:bCs/>
              </w:rPr>
              <w:t>Utilisation of premises 2025</w:t>
            </w:r>
            <w:r>
              <w:rPr>
                <w:rFonts w:ascii="Arial" w:hAnsi="Arial"/>
              </w:rPr>
              <w:t>: At the last Trustees meeting, summaries up the end of September for the halls were presented. This information has now been update to the year end by adding the data for the three additional months. In fact the October and November showed a slight reduction in utilisation compared to the corresponding months in 2024.</w:t>
            </w:r>
          </w:p>
          <w:p>
            <w:pPr>
              <w:pStyle w:val="Normal"/>
              <w:widowControl w:val="false"/>
              <w:tabs>
                <w:tab w:val="clear" w:pos="720"/>
                <w:tab w:val="left" w:pos="317" w:leader="none"/>
              </w:tabs>
              <w:spacing w:lineRule="auto" w:line="240" w:before="57" w:after="113"/>
              <w:rPr>
                <w:rFonts w:ascii="Arial" w:hAnsi="Arial"/>
              </w:rPr>
            </w:pPr>
            <w:r>
              <w:rPr>
                <w:rFonts w:ascii="Arial" w:hAnsi="Arial"/>
              </w:rPr>
              <w:t>For 2025 the utilisation of the Hall 3: Hutton (Youth) and the Hall 2: Harvey (Adult) was 43.8% compared to 47.1% last year. If the Hall 1: Brockwell (Dance Studio) is included the average utilisation for 2025 is 50.2% (2024 – 52.7%)</w:t>
            </w:r>
          </w:p>
          <w:p>
            <w:pPr>
              <w:pStyle w:val="Normal"/>
              <w:widowControl w:val="false"/>
              <w:tabs>
                <w:tab w:val="clear" w:pos="720"/>
                <w:tab w:val="left" w:pos="317" w:leader="none"/>
              </w:tabs>
              <w:spacing w:lineRule="auto" w:line="240" w:before="57" w:after="113"/>
              <w:rPr>
                <w:rFonts w:ascii="Arial" w:hAnsi="Arial"/>
              </w:rPr>
            </w:pPr>
            <w:r>
              <w:rPr>
                <w:rFonts w:ascii="Arial" w:hAnsi="Arial"/>
              </w:rPr>
              <w:t>To put this into context the figure, including Hall 1, for 2023 was 50.1%, which up to to that time was the highest utilisation recorded.</w:t>
            </w:r>
          </w:p>
          <w:p>
            <w:pPr>
              <w:pStyle w:val="Normal"/>
              <w:widowControl w:val="false"/>
              <w:tabs>
                <w:tab w:val="clear" w:pos="720"/>
                <w:tab w:val="left" w:pos="317" w:leader="none"/>
              </w:tabs>
              <w:spacing w:lineRule="auto" w:line="240" w:before="57" w:after="113"/>
              <w:rPr>
                <w:rFonts w:ascii="Arial" w:hAnsi="Arial"/>
              </w:rPr>
            </w:pPr>
            <w:r>
              <w:rPr>
                <w:rFonts w:ascii="Arial" w:hAnsi="Arial"/>
              </w:rPr>
              <w:t>Utilisation of resources is a key determinant of our financial success, so we need to maximise this. The increase in the average figure over recent years has been very positive, and we hope to resume the upward trend in 2026..</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sz w:val="18"/>
                <w:szCs w:val="18"/>
              </w:rPr>
            </w:pPr>
            <w:r>
              <w:rPr>
                <w:rFonts w:eastAsia="Arial" w:cs="Arial" w:ascii="Arial" w:hAnsi="Arial"/>
                <w:sz w:val="18"/>
                <w:szCs w:val="18"/>
              </w:rPr>
            </w:r>
          </w:p>
        </w:tc>
      </w:tr>
      <w:tr>
        <w:trPr>
          <w:trHeight w:val="637" w:hRule="atLeast"/>
        </w:trPr>
        <w:tc>
          <w:tcPr>
            <w:tcW w:w="1740" w:type="dxa"/>
            <w:tcBorders>
              <w:left w:val="single" w:sz="4" w:space="0" w:color="000000"/>
              <w:bottom w:val="single" w:sz="4" w:space="0" w:color="000000"/>
            </w:tcBorders>
            <w:shd w:color="auto" w:fill="FFFFFF" w:val="clear"/>
          </w:tcPr>
          <w:p>
            <w:pPr>
              <w:pStyle w:val="Normal"/>
              <w:widowControl w:val="false"/>
              <w:spacing w:lineRule="auto" w:line="240" w:before="57" w:after="0"/>
              <w:rPr/>
            </w:pPr>
            <w:r>
              <w:rPr/>
            </w:r>
          </w:p>
        </w:tc>
        <w:tc>
          <w:tcPr>
            <w:tcW w:w="7027" w:type="dxa"/>
            <w:tcBorders>
              <w:left w:val="single" w:sz="4" w:space="0" w:color="000000"/>
              <w:bottom w:val="single" w:sz="4" w:space="0" w:color="000000"/>
            </w:tcBorders>
            <w:shd w:color="auto" w:fill="FFFFFF" w:val="clear"/>
          </w:tcPr>
          <w:p>
            <w:pPr>
              <w:pStyle w:val="Normal"/>
              <w:widowControl w:val="false"/>
              <w:tabs>
                <w:tab w:val="clear" w:pos="720"/>
                <w:tab w:val="left" w:pos="317" w:leader="none"/>
              </w:tabs>
              <w:spacing w:lineRule="auto" w:line="240" w:before="57" w:after="113"/>
              <w:rPr>
                <w:rFonts w:ascii="Arial" w:hAnsi="Arial"/>
              </w:rPr>
            </w:pPr>
            <w:r>
              <w:rPr>
                <w:rFonts w:ascii="Arial" w:hAnsi="Arial"/>
              </w:rPr>
              <w:t xml:space="preserve">5.4. </w:t>
            </w:r>
            <w:r>
              <w:rPr>
                <w:rFonts w:ascii="Arial" w:hAnsi="Arial"/>
                <w:b/>
                <w:bCs/>
              </w:rPr>
              <w:t>Draft Annual Report &amp; Accounts progress</w:t>
            </w:r>
            <w:r>
              <w:rPr>
                <w:rFonts w:ascii="Arial" w:hAnsi="Arial"/>
              </w:rPr>
              <w:t>: A first draft of the annual report has been prepared and is currently being reviewed by the Executive Committee. This is currently in the same format as the 2024 year (ie based on accrual accounting). An option would be to publish receipts and payments accounts (ie prepared on the same basis as the management accounts). A copy of the draft Report &amp; accounts will be circulated to the Trustees for comment, so it is ready for the AGM in April.</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sz w:val="18"/>
                <w:szCs w:val="18"/>
              </w:rPr>
            </w:pPr>
            <w:r>
              <w:rPr>
                <w:rFonts w:eastAsia="Arial" w:cs="Arial" w:ascii="Arial" w:hAnsi="Arial"/>
                <w:sz w:val="18"/>
                <w:szCs w:val="18"/>
              </w:rPr>
            </w:r>
          </w:p>
        </w:tc>
      </w:tr>
      <w:tr>
        <w:trPr>
          <w:trHeight w:val="637" w:hRule="atLeast"/>
        </w:trPr>
        <w:tc>
          <w:tcPr>
            <w:tcW w:w="1740" w:type="dxa"/>
            <w:tcBorders>
              <w:left w:val="single" w:sz="4" w:space="0" w:color="000000"/>
              <w:bottom w:val="single" w:sz="4" w:space="0" w:color="000000"/>
            </w:tcBorders>
            <w:shd w:color="auto" w:fill="FFFFFF" w:val="clear"/>
          </w:tcPr>
          <w:p>
            <w:pPr>
              <w:pStyle w:val="Normal"/>
              <w:widowControl w:val="false"/>
              <w:spacing w:lineRule="auto" w:line="240" w:before="57" w:after="0"/>
              <w:rPr>
                <w:rFonts w:ascii="Arial" w:hAnsi="Arial" w:eastAsia="Arial" w:cs="Arial"/>
                <w:b/>
                <w:sz w:val="21"/>
                <w:szCs w:val="21"/>
              </w:rPr>
            </w:pPr>
            <w:r>
              <w:rPr>
                <w:rFonts w:eastAsia="Arial" w:cs="Arial" w:ascii="Arial" w:hAnsi="Arial"/>
                <w:b/>
                <w:sz w:val="21"/>
                <w:szCs w:val="21"/>
              </w:rPr>
              <w:t>6. General Risk  Register Update</w:t>
            </w:r>
          </w:p>
        </w:tc>
        <w:tc>
          <w:tcPr>
            <w:tcW w:w="7027" w:type="dxa"/>
            <w:tcBorders>
              <w:left w:val="single" w:sz="4" w:space="0" w:color="000000"/>
              <w:bottom w:val="single" w:sz="4" w:space="0" w:color="000000"/>
            </w:tcBorders>
            <w:shd w:color="auto" w:fill="FFFFFF" w:val="clear"/>
          </w:tcPr>
          <w:p>
            <w:pPr>
              <w:pStyle w:val="Normal"/>
              <w:widowControl w:val="false"/>
              <w:tabs>
                <w:tab w:val="clear" w:pos="720"/>
                <w:tab w:val="left" w:pos="317" w:leader="none"/>
              </w:tabs>
              <w:spacing w:lineRule="auto" w:line="240" w:before="57" w:after="113"/>
              <w:rPr>
                <w:rFonts w:ascii="Arial" w:hAnsi="Arial"/>
              </w:rPr>
            </w:pPr>
            <w:r>
              <w:rPr>
                <w:rFonts w:ascii="Arial" w:hAnsi="Arial"/>
              </w:rPr>
              <w:t xml:space="preserve">6.1. </w:t>
            </w:r>
            <w:r>
              <w:rPr>
                <w:rFonts w:ascii="Arial" w:hAnsi="Arial"/>
                <w:b/>
                <w:bCs/>
              </w:rPr>
              <w:t xml:space="preserve">General Risk Register: </w:t>
            </w:r>
            <w:r>
              <w:rPr>
                <w:rFonts w:ascii="Arial" w:hAnsi="Arial"/>
              </w:rPr>
              <w:t xml:space="preserve">there are 5 main sections - </w:t>
            </w:r>
            <w:r>
              <w:rPr>
                <w:rFonts w:ascii="Arial" w:hAnsi="Arial"/>
                <w:b/>
                <w:bCs/>
              </w:rPr>
              <w:t>Compliance</w:t>
            </w:r>
            <w:r>
              <w:rPr>
                <w:rFonts w:ascii="Arial" w:hAnsi="Arial"/>
              </w:rPr>
              <w:t xml:space="preserve"> with regulations, </w:t>
            </w:r>
            <w:r>
              <w:rPr>
                <w:rFonts w:ascii="Arial" w:hAnsi="Arial"/>
                <w:b/>
                <w:bCs/>
              </w:rPr>
              <w:t>External</w:t>
            </w:r>
            <w:r>
              <w:rPr>
                <w:rFonts w:ascii="Arial" w:hAnsi="Arial"/>
              </w:rPr>
              <w:t xml:space="preserve">, </w:t>
            </w:r>
            <w:r>
              <w:rPr>
                <w:rFonts w:ascii="Arial" w:hAnsi="Arial"/>
                <w:b/>
                <w:bCs/>
              </w:rPr>
              <w:t>Financial</w:t>
            </w:r>
            <w:r>
              <w:rPr>
                <w:rFonts w:ascii="Arial" w:hAnsi="Arial"/>
              </w:rPr>
              <w:t xml:space="preserve">, </w:t>
            </w:r>
            <w:r>
              <w:rPr>
                <w:rFonts w:ascii="Arial" w:hAnsi="Arial"/>
                <w:b/>
                <w:bCs/>
              </w:rPr>
              <w:t>Governance</w:t>
            </w:r>
            <w:r>
              <w:rPr>
                <w:rFonts w:ascii="Arial" w:hAnsi="Arial"/>
              </w:rPr>
              <w:t xml:space="preserve">, </w:t>
            </w:r>
            <w:r>
              <w:rPr>
                <w:rFonts w:ascii="Arial" w:hAnsi="Arial"/>
                <w:b/>
                <w:bCs/>
              </w:rPr>
              <w:t>Operational</w:t>
            </w:r>
            <w:r>
              <w:rPr>
                <w:rFonts w:ascii="Arial" w:hAnsi="Arial"/>
              </w:rPr>
              <w:t xml:space="preserve">. Each subsection is judged against </w:t>
            </w:r>
            <w:r>
              <w:rPr>
                <w:rFonts w:ascii="Arial" w:hAnsi="Arial"/>
                <w:b/>
                <w:bCs/>
              </w:rPr>
              <w:t>Low</w:t>
            </w:r>
            <w:r>
              <w:rPr>
                <w:rFonts w:ascii="Arial" w:hAnsi="Arial"/>
              </w:rPr>
              <w:t xml:space="preserve">, </w:t>
            </w:r>
            <w:r>
              <w:rPr>
                <w:rFonts w:ascii="Arial" w:hAnsi="Arial"/>
                <w:b/>
                <w:bCs/>
              </w:rPr>
              <w:t>Medium</w:t>
            </w:r>
            <w:r>
              <w:rPr>
                <w:rFonts w:ascii="Arial" w:hAnsi="Arial"/>
              </w:rPr>
              <w:t xml:space="preserve">, </w:t>
            </w:r>
            <w:r>
              <w:rPr>
                <w:rFonts w:ascii="Arial" w:hAnsi="Arial"/>
                <w:b/>
                <w:bCs/>
              </w:rPr>
              <w:t>High</w:t>
            </w:r>
            <w:r>
              <w:rPr>
                <w:rFonts w:ascii="Arial" w:hAnsi="Arial"/>
              </w:rPr>
              <w:t xml:space="preserve"> risk standards of occurrence. We have in place ‘Actions required to manage the consequences’ with a nominated ‘owner’ and timeframe for review for each one. All risks are in the green (low) or amber category (medium). We treat all risks seriously as a way of preventing problems before they may arise.</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sz w:val="18"/>
                <w:szCs w:val="18"/>
              </w:rPr>
            </w:pPr>
            <w:r>
              <w:rPr>
                <w:rFonts w:eastAsia="Arial" w:cs="Arial" w:ascii="Arial" w:hAnsi="Arial"/>
                <w:sz w:val="18"/>
                <w:szCs w:val="18"/>
              </w:rPr>
              <w:t>Peter to update the review dates</w:t>
            </w:r>
          </w:p>
        </w:tc>
      </w:tr>
      <w:tr>
        <w:trPr>
          <w:trHeight w:val="1982" w:hRule="atLeast"/>
        </w:trPr>
        <w:tc>
          <w:tcPr>
            <w:tcW w:w="1740" w:type="dxa"/>
            <w:vMerge w:val="restart"/>
            <w:tcBorders>
              <w:top w:val="single" w:sz="4" w:space="0" w:color="000000"/>
              <w:left w:val="single" w:sz="4" w:space="0" w:color="000000"/>
            </w:tcBorders>
            <w:shd w:color="auto" w:fill="FFFFFF" w:val="clear"/>
          </w:tcPr>
          <w:p>
            <w:pPr>
              <w:pStyle w:val="Normal"/>
              <w:widowControl w:val="false"/>
              <w:spacing w:lineRule="auto" w:line="240" w:before="57" w:after="0"/>
              <w:rPr>
                <w:rFonts w:ascii="Arial" w:hAnsi="Arial" w:eastAsia="Arial" w:cs="Arial"/>
                <w:b/>
                <w:sz w:val="21"/>
                <w:szCs w:val="21"/>
              </w:rPr>
            </w:pPr>
            <w:r>
              <w:rPr>
                <w:rFonts w:eastAsia="Arial" w:cs="Arial" w:ascii="Arial" w:hAnsi="Arial"/>
                <w:b/>
                <w:sz w:val="21"/>
                <w:szCs w:val="21"/>
              </w:rPr>
              <w:t>7. Centre Manager's Report</w:t>
            </w:r>
          </w:p>
        </w:tc>
        <w:tc>
          <w:tcPr>
            <w:tcW w:w="7027" w:type="dxa"/>
            <w:tcBorders>
              <w:top w:val="single" w:sz="4" w:space="0" w:color="000000"/>
              <w:left w:val="single" w:sz="4" w:space="0" w:color="000000"/>
            </w:tcBorders>
            <w:shd w:color="auto" w:fill="FFFFFF" w:val="clear"/>
          </w:tcPr>
          <w:p>
            <w:pPr>
              <w:pStyle w:val="Normal"/>
              <w:widowControl w:val="false"/>
              <w:spacing w:lineRule="atLeast" w:line="100" w:before="57" w:after="57"/>
              <w:ind w:hanging="0" w:left="57"/>
              <w:rPr/>
            </w:pPr>
            <w:r>
              <w:rPr>
                <w:rFonts w:eastAsia="Arial" w:cs="Arial" w:ascii="Arial" w:hAnsi="Arial"/>
                <w:color w:val="000000"/>
              </w:rPr>
              <w:t>7.1.(a)</w:t>
            </w:r>
            <w:r>
              <w:rPr>
                <w:rFonts w:eastAsia="Arial" w:cs="Arial" w:ascii="Arial" w:hAnsi="Arial"/>
              </w:rPr>
              <w:t xml:space="preserve"> </w:t>
            </w:r>
            <w:r>
              <w:rPr>
                <w:rFonts w:eastAsia="Arial" w:cs="Arial" w:ascii="Arial" w:hAnsi="Arial"/>
                <w:b/>
                <w:bCs/>
              </w:rPr>
              <w:t>Centre report:</w:t>
            </w:r>
            <w:r>
              <w:rPr>
                <w:rFonts w:eastAsia="Arial" w:cs="Arial" w:ascii="Arial" w:hAnsi="Arial"/>
              </w:rPr>
              <w:t xml:space="preserve"> </w:t>
            </w:r>
            <w:r>
              <w:rPr>
                <w:rFonts w:eastAsia="Arial" w:cs="Arial" w:ascii="Arial" w:hAnsi="Arial"/>
                <w:color w:val="000000"/>
              </w:rPr>
              <w:t>Jim’s report was issued prior to the meeting.</w:t>
            </w:r>
          </w:p>
          <w:p>
            <w:pPr>
              <w:pStyle w:val="Normal"/>
              <w:widowControl w:val="false"/>
              <w:spacing w:lineRule="atLeast" w:line="100" w:before="57" w:after="57"/>
              <w:ind w:hanging="0" w:left="57"/>
              <w:rPr>
                <w:color w:val="000000"/>
              </w:rPr>
            </w:pPr>
            <w:r>
              <w:rPr>
                <w:rFonts w:eastAsia="Arial" w:cs="Arial" w:ascii="Arial" w:hAnsi="Arial"/>
                <w:color w:val="000000"/>
              </w:rPr>
              <w:t>There were 2 additional single bookings. There are regular bookings on Tuesdays and Wednesdays, in meeting rooms 1&amp;2, with DCC Durham Learn.</w:t>
            </w:r>
          </w:p>
          <w:p>
            <w:pPr>
              <w:pStyle w:val="Normal"/>
              <w:widowControl w:val="false"/>
              <w:spacing w:lineRule="atLeast" w:line="100" w:before="57" w:after="57"/>
              <w:ind w:hanging="0" w:left="57"/>
              <w:rPr>
                <w:color w:val="000000"/>
              </w:rPr>
            </w:pPr>
            <w:r>
              <w:rPr>
                <w:rFonts w:eastAsia="Arial" w:cs="Arial" w:ascii="Arial" w:hAnsi="Arial"/>
                <w:color w:val="000000"/>
              </w:rPr>
              <w:t>The revised Office situation is that Carol’s working hours are Mondays, Tuesdays and Fridays. Jim and Carol will still stand-in for each other if this becomes necessary.</w:t>
            </w:r>
          </w:p>
        </w:tc>
        <w:tc>
          <w:tcPr>
            <w:tcW w:w="1538" w:type="dxa"/>
            <w:tcBorders>
              <w:top w:val="single" w:sz="4" w:space="0" w:color="000000"/>
              <w:left w:val="single" w:sz="4" w:space="0" w:color="000000"/>
              <w:right w:val="single" w:sz="4" w:space="0" w:color="000000"/>
            </w:tcBorders>
            <w:shd w:color="auto" w:fill="FFFFFF" w:val="clear"/>
          </w:tcPr>
          <w:p>
            <w:pPr>
              <w:pStyle w:val="Normal"/>
              <w:widowControl w:val="false"/>
              <w:snapToGrid w:val="false"/>
              <w:spacing w:before="0" w:after="0"/>
              <w:jc w:val="center"/>
              <w:rPr>
                <w:rFonts w:ascii="Arial" w:hAnsi="Arial" w:cs="Arial"/>
                <w:sz w:val="18"/>
                <w:szCs w:val="18"/>
              </w:rPr>
            </w:pPr>
            <w:r>
              <w:rPr>
                <w:rFonts w:cs="Arial" w:ascii="Arial" w:hAnsi="Arial"/>
                <w:sz w:val="18"/>
                <w:szCs w:val="18"/>
              </w:rPr>
            </w:r>
          </w:p>
        </w:tc>
      </w:tr>
      <w:tr>
        <w:trPr>
          <w:trHeight w:val="630" w:hRule="atLeast"/>
        </w:trPr>
        <w:tc>
          <w:tcPr>
            <w:tcW w:w="1740" w:type="dxa"/>
            <w:vMerge w:val="continue"/>
            <w:tcBorders>
              <w:left w:val="single" w:sz="4" w:space="0" w:color="000000"/>
            </w:tcBorders>
            <w:shd w:color="auto" w:fill="FFFFFF" w:val="clear"/>
          </w:tcPr>
          <w:p>
            <w:pPr>
              <w:pStyle w:val="Normal"/>
              <w:widowControl w:val="false"/>
              <w:spacing w:lineRule="auto" w:line="240" w:before="57" w:after="0"/>
              <w:rPr>
                <w:rFonts w:ascii="Arial" w:hAnsi="Arial" w:eastAsia="Arial" w:cs="Arial"/>
                <w:b/>
                <w:sz w:val="21"/>
                <w:szCs w:val="21"/>
              </w:rPr>
            </w:pPr>
            <w:r>
              <w:rPr>
                <w:rFonts w:eastAsia="Arial" w:cs="Arial" w:ascii="Arial" w:hAnsi="Arial"/>
                <w:b/>
                <w:sz w:val="21"/>
                <w:szCs w:val="21"/>
              </w:rPr>
            </w:r>
          </w:p>
        </w:tc>
        <w:tc>
          <w:tcPr>
            <w:tcW w:w="7027" w:type="dxa"/>
            <w:tcBorders>
              <w:left w:val="single" w:sz="4" w:space="0" w:color="000000"/>
            </w:tcBorders>
            <w:shd w:color="auto" w:fill="FFFFFF" w:val="clear"/>
          </w:tcPr>
          <w:p>
            <w:pPr>
              <w:pStyle w:val="Normal"/>
              <w:widowControl w:val="false"/>
              <w:suppressAutoHyphens w:val="true"/>
              <w:bidi w:val="0"/>
              <w:spacing w:lineRule="atLeast" w:line="100" w:before="57" w:after="57"/>
              <w:ind w:hanging="0" w:left="113" w:right="0"/>
              <w:jc w:val="left"/>
              <w:rPr>
                <w:rFonts w:ascii="Arial" w:hAnsi="Arial"/>
              </w:rPr>
            </w:pPr>
            <w:r>
              <w:rPr>
                <w:rFonts w:eastAsia="Arial" w:cs="Arial" w:ascii="Arial" w:hAnsi="Arial"/>
                <w:b w:val="false"/>
                <w:bCs w:val="false"/>
                <w:color w:val="000000"/>
              </w:rPr>
              <w:t>7.1</w:t>
            </w:r>
            <w:r>
              <w:rPr>
                <w:rFonts w:eastAsia="Arial" w:cs="Arial" w:ascii="Arial" w:hAnsi="Arial"/>
                <w:b w:val="false"/>
                <w:bCs w:val="false"/>
                <w:color w:val="C9211E"/>
              </w:rPr>
              <w:t>.</w:t>
            </w:r>
            <w:r>
              <w:rPr>
                <w:rFonts w:eastAsia="Arial" w:cs="Arial" w:ascii="Arial" w:hAnsi="Arial"/>
                <w:b w:val="false"/>
                <w:bCs w:val="false"/>
                <w:color w:val="666666"/>
              </w:rPr>
              <w:t>(</w:t>
            </w:r>
            <w:r>
              <w:rPr>
                <w:rFonts w:eastAsia="Arial" w:cs="Arial" w:ascii="Arial" w:hAnsi="Arial"/>
                <w:b w:val="false"/>
                <w:bCs w:val="false"/>
                <w:color w:val="000000"/>
              </w:rPr>
              <w:t xml:space="preserve">b) </w:t>
            </w:r>
            <w:r>
              <w:rPr>
                <w:rFonts w:eastAsia="Arial" w:cs="Arial" w:ascii="Arial" w:hAnsi="Arial"/>
                <w:b/>
                <w:bCs/>
                <w:color w:val="000000"/>
              </w:rPr>
              <w:t>Bookings data:</w:t>
            </w:r>
            <w:r>
              <w:rPr>
                <w:rFonts w:eastAsia="Arial" w:cs="Arial" w:ascii="Arial" w:hAnsi="Arial"/>
                <w:color w:val="000000"/>
                <w:shd w:fill="FFFFA6" w:val="clear"/>
              </w:rPr>
              <w:t xml:space="preserve"> </w:t>
            </w:r>
            <w:r>
              <w:rPr>
                <w:rFonts w:eastAsia="Arial" w:cs="Arial" w:ascii="Arial" w:hAnsi="Arial"/>
                <w:color w:val="000000"/>
                <w:shd w:fill="auto" w:val="clear"/>
              </w:rPr>
              <w:t>9 enquiries were reported, of which 4 were successfully accommodated, and 3 are still to be confirmed but 2 had to be refused because of lack of availability. 2 children’s parties had taken place at weekends.</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cs="Arial"/>
                <w:sz w:val="18"/>
                <w:szCs w:val="18"/>
              </w:rPr>
            </w:pPr>
            <w:r>
              <w:rPr>
                <w:rFonts w:cs="Arial" w:ascii="Arial" w:hAnsi="Arial"/>
                <w:sz w:val="18"/>
                <w:szCs w:val="18"/>
              </w:rPr>
            </w:r>
          </w:p>
          <w:p>
            <w:pPr>
              <w:pStyle w:val="Normal"/>
              <w:widowControl w:val="false"/>
              <w:snapToGrid w:val="false"/>
              <w:spacing w:lineRule="atLeast" w:line="100" w:before="0" w:after="120"/>
              <w:jc w:val="center"/>
              <w:rPr>
                <w:rFonts w:ascii="Arial" w:hAnsi="Arial" w:cs="Arial"/>
                <w:sz w:val="18"/>
                <w:szCs w:val="18"/>
              </w:rPr>
            </w:pPr>
            <w:r>
              <w:rPr>
                <w:rFonts w:cs="Arial" w:ascii="Arial" w:hAnsi="Arial"/>
                <w:sz w:val="18"/>
                <w:szCs w:val="18"/>
              </w:rPr>
            </w:r>
          </w:p>
        </w:tc>
      </w:tr>
      <w:tr>
        <w:trPr>
          <w:trHeight w:val="630" w:hRule="atLeast"/>
        </w:trPr>
        <w:tc>
          <w:tcPr>
            <w:tcW w:w="1740" w:type="dxa"/>
            <w:vMerge w:val="continue"/>
            <w:tcBorders>
              <w:left w:val="single" w:sz="4" w:space="0" w:color="000000"/>
            </w:tcBorders>
            <w:shd w:color="auto" w:fill="FFFFFF" w:val="clear"/>
          </w:tcPr>
          <w:p>
            <w:pPr>
              <w:pStyle w:val="Normal"/>
              <w:widowControl w:val="false"/>
              <w:spacing w:lineRule="auto" w:line="240" w:before="57" w:after="0"/>
              <w:rPr>
                <w:rFonts w:ascii="Arial" w:hAnsi="Arial" w:eastAsia="Arial" w:cs="Arial"/>
                <w:b/>
                <w:sz w:val="21"/>
                <w:szCs w:val="21"/>
              </w:rPr>
            </w:pPr>
            <w:r>
              <w:rPr>
                <w:rFonts w:eastAsia="Arial" w:cs="Arial" w:ascii="Arial" w:hAnsi="Arial"/>
                <w:b/>
                <w:sz w:val="21"/>
                <w:szCs w:val="21"/>
              </w:rPr>
            </w:r>
          </w:p>
        </w:tc>
        <w:tc>
          <w:tcPr>
            <w:tcW w:w="7027" w:type="dxa"/>
            <w:tcBorders>
              <w:left w:val="single" w:sz="4" w:space="0" w:color="000000"/>
            </w:tcBorders>
            <w:shd w:color="auto" w:fill="FFFFFF" w:val="clear"/>
          </w:tcPr>
          <w:p>
            <w:pPr>
              <w:pStyle w:val="Normal"/>
              <w:widowControl w:val="false"/>
              <w:suppressAutoHyphens w:val="true"/>
              <w:bidi w:val="0"/>
              <w:spacing w:lineRule="atLeast" w:line="100" w:before="57" w:after="57"/>
              <w:ind w:hanging="0" w:left="113" w:right="170"/>
              <w:jc w:val="left"/>
              <w:rPr>
                <w:rFonts w:ascii="Arial" w:hAnsi="Arial"/>
              </w:rPr>
            </w:pPr>
            <w:r>
              <w:rPr>
                <w:rFonts w:eastAsia="Arial" w:cs="Arial" w:ascii="Arial" w:hAnsi="Arial"/>
                <w:color w:val="000000"/>
              </w:rPr>
              <w:t xml:space="preserve">7.2. </w:t>
            </w:r>
            <w:r>
              <w:rPr>
                <w:rFonts w:eastAsia="Arial" w:cs="Arial" w:ascii="Arial" w:hAnsi="Arial"/>
                <w:b/>
                <w:bCs/>
                <w:color w:val="000000"/>
              </w:rPr>
              <w:t>Complaints report:</w:t>
            </w:r>
            <w:r>
              <w:rPr>
                <w:rFonts w:eastAsia="Arial" w:cs="Arial" w:ascii="Arial" w:hAnsi="Arial"/>
                <w:color w:val="000000"/>
              </w:rPr>
              <w:t xml:space="preserve"> No complaints have been received in this two month period.</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before="0" w:after="0"/>
              <w:jc w:val="center"/>
              <w:rPr>
                <w:rFonts w:ascii="Arial" w:hAnsi="Arial" w:cs="Arial"/>
                <w:sz w:val="18"/>
                <w:szCs w:val="18"/>
              </w:rPr>
            </w:pPr>
            <w:r>
              <w:rPr>
                <w:rFonts w:cs="Arial" w:ascii="Arial" w:hAnsi="Arial"/>
                <w:sz w:val="18"/>
                <w:szCs w:val="18"/>
              </w:rPr>
            </w:r>
          </w:p>
        </w:tc>
      </w:tr>
      <w:tr>
        <w:trPr>
          <w:trHeight w:val="630" w:hRule="atLeast"/>
        </w:trPr>
        <w:tc>
          <w:tcPr>
            <w:tcW w:w="1740" w:type="dxa"/>
            <w:vMerge w:val="continue"/>
            <w:tcBorders>
              <w:top w:val="single" w:sz="4" w:space="0" w:color="000000"/>
              <w:left w:val="single" w:sz="4" w:space="0" w:color="000000"/>
            </w:tcBorders>
            <w:shd w:color="auto" w:fill="FFFFFF" w:val="clear"/>
          </w:tcPr>
          <w:p>
            <w:pPr>
              <w:pStyle w:val="Normal"/>
              <w:widowControl w:val="false"/>
              <w:spacing w:lineRule="atLeast" w:line="100" w:before="0" w:after="0"/>
              <w:rPr>
                <w:rFonts w:ascii="Arial" w:hAnsi="Arial" w:eastAsia="Arial" w:cs="Arial"/>
                <w:b/>
                <w:sz w:val="21"/>
                <w:szCs w:val="21"/>
              </w:rPr>
            </w:pPr>
            <w:r>
              <w:rPr>
                <w:rFonts w:eastAsia="Arial" w:cs="Arial" w:ascii="Arial" w:hAnsi="Arial"/>
                <w:b/>
                <w:sz w:val="21"/>
                <w:szCs w:val="21"/>
              </w:rPr>
            </w:r>
          </w:p>
        </w:tc>
        <w:tc>
          <w:tcPr>
            <w:tcW w:w="7027" w:type="dxa"/>
            <w:tcBorders>
              <w:left w:val="single" w:sz="4" w:space="0" w:color="000000"/>
              <w:bottom w:val="single" w:sz="4" w:space="0" w:color="000000"/>
            </w:tcBorders>
            <w:shd w:color="auto" w:fill="FFFFFF" w:val="clear"/>
          </w:tcPr>
          <w:p>
            <w:pPr>
              <w:pStyle w:val="Normal"/>
              <w:widowControl w:val="false"/>
              <w:suppressAutoHyphens w:val="true"/>
              <w:bidi w:val="0"/>
              <w:spacing w:lineRule="atLeast" w:line="100" w:before="57" w:after="57"/>
              <w:ind w:hanging="0" w:left="113" w:right="57"/>
              <w:jc w:val="left"/>
              <w:rPr>
                <w:rFonts w:ascii="Arial" w:hAnsi="Arial"/>
              </w:rPr>
            </w:pPr>
            <w:r>
              <w:rPr>
                <w:rFonts w:eastAsia="Arial" w:cs="Arial" w:ascii="Arial" w:hAnsi="Arial"/>
                <w:color w:val="000000"/>
              </w:rPr>
              <w:t xml:space="preserve">7.3. </w:t>
            </w:r>
            <w:r>
              <w:rPr>
                <w:rFonts w:eastAsia="Arial" w:cs="Arial" w:ascii="Arial" w:hAnsi="Arial"/>
                <w:b/>
                <w:bCs/>
                <w:color w:val="000000"/>
              </w:rPr>
              <w:t>Health &amp; Safety report:</w:t>
            </w:r>
            <w:r>
              <w:rPr>
                <w:rFonts w:eastAsia="Arial" w:cs="Arial" w:ascii="Arial" w:hAnsi="Arial"/>
                <w:b w:val="false"/>
                <w:bCs w:val="false"/>
                <w:color w:val="000000"/>
              </w:rPr>
              <w:t xml:space="preserve"> Jim’s report has been issued prior to the meeting. No items of concern were reported. Training requirements will be indicated and online courses are available to manage these</w:t>
            </w:r>
          </w:p>
          <w:p>
            <w:pPr>
              <w:pStyle w:val="Normal"/>
              <w:widowControl w:val="false"/>
              <w:suppressAutoHyphens w:val="true"/>
              <w:bidi w:val="0"/>
              <w:spacing w:lineRule="atLeast" w:line="100" w:before="57" w:after="57"/>
              <w:ind w:hanging="0" w:left="113" w:right="57"/>
              <w:jc w:val="left"/>
              <w:rPr>
                <w:rFonts w:ascii="Arial" w:hAnsi="Arial"/>
              </w:rPr>
            </w:pPr>
            <w:r>
              <w:rPr>
                <w:rFonts w:eastAsia="Arial" w:cs="Arial" w:ascii="Arial" w:hAnsi="Arial"/>
                <w:b w:val="false"/>
                <w:bCs w:val="false"/>
                <w:color w:val="000000"/>
              </w:rPr>
              <w:t>Any trustees interested in joining H&amp;S group (currently Jim and Malcolm) were welcome to find out more information.</w:t>
            </w:r>
          </w:p>
          <w:p>
            <w:pPr>
              <w:pStyle w:val="Normal"/>
              <w:widowControl w:val="false"/>
              <w:suppressAutoHyphens w:val="true"/>
              <w:bidi w:val="0"/>
              <w:spacing w:lineRule="atLeast" w:line="100" w:before="57" w:after="57"/>
              <w:ind w:hanging="0" w:left="113" w:right="57"/>
              <w:jc w:val="left"/>
              <w:rPr>
                <w:rFonts w:ascii="Arial" w:hAnsi="Arial"/>
              </w:rPr>
            </w:pPr>
            <w:r>
              <w:rPr>
                <w:rFonts w:eastAsia="Arial" w:cs="Arial" w:ascii="Arial" w:hAnsi="Arial"/>
                <w:b w:val="false"/>
                <w:bCs w:val="false"/>
                <w:color w:val="000000"/>
              </w:rPr>
              <w:t>Reactive (mainly lighting and electrical sockets) and Planned maintenance and PAT testing had taken place.</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cs="Arial"/>
                <w:sz w:val="18"/>
                <w:szCs w:val="18"/>
              </w:rPr>
            </w:pPr>
            <w:r>
              <w:rPr>
                <w:rFonts w:cs="Arial" w:ascii="Arial" w:hAnsi="Arial"/>
                <w:sz w:val="18"/>
                <w:szCs w:val="18"/>
              </w:rPr>
            </w:r>
          </w:p>
        </w:tc>
      </w:tr>
      <w:tr>
        <w:trPr>
          <w:trHeight w:val="634" w:hRule="atLeast"/>
        </w:trPr>
        <w:tc>
          <w:tcPr>
            <w:tcW w:w="1740" w:type="dxa"/>
            <w:tcBorders>
              <w:top w:val="single" w:sz="4" w:space="0" w:color="000000"/>
              <w:left w:val="single" w:sz="4" w:space="0" w:color="000000"/>
            </w:tcBorders>
            <w:shd w:color="auto" w:fill="FFFFFF" w:val="clear"/>
          </w:tcPr>
          <w:p>
            <w:pPr>
              <w:pStyle w:val="Normal"/>
              <w:widowControl w:val="false"/>
              <w:spacing w:lineRule="auto" w:line="240" w:before="57" w:after="0"/>
              <w:rPr>
                <w:color w:val="000000"/>
              </w:rPr>
            </w:pPr>
            <w:r>
              <w:rPr>
                <w:rFonts w:eastAsia="Arial" w:cs="Arial" w:ascii="Arial" w:hAnsi="Arial"/>
                <w:b/>
                <w:sz w:val="21"/>
                <w:szCs w:val="21"/>
              </w:rPr>
              <w:t>8. Policy updates</w:t>
            </w:r>
          </w:p>
        </w:tc>
        <w:tc>
          <w:tcPr>
            <w:tcW w:w="7027" w:type="dxa"/>
            <w:tcBorders>
              <w:left w:val="single" w:sz="4" w:space="0" w:color="000000"/>
            </w:tcBorders>
            <w:shd w:color="auto" w:fill="FFFFFF" w:val="clear"/>
          </w:tcPr>
          <w:p>
            <w:pPr>
              <w:pStyle w:val="Normal"/>
              <w:widowControl w:val="false"/>
              <w:spacing w:lineRule="auto" w:line="240" w:before="57" w:after="57"/>
              <w:ind w:hanging="0" w:left="57" w:right="57"/>
              <w:rPr>
                <w:rFonts w:ascii="Arial" w:hAnsi="Arial"/>
              </w:rPr>
            </w:pPr>
            <w:r>
              <w:rPr>
                <w:rFonts w:ascii="Arial" w:hAnsi="Arial"/>
              </w:rPr>
              <w:t>There are 5 policies relating the Health &amp; Safety to ratify which have been reviewed in detail by the Policy subcommittee of Malcolm, Kath and Peter. They are: ‘Fire Safety Risk Assessment 2026’; ‘A-FMYCA Health &amp; Safety Policy 2026’; ‘B-Appendix 1 Risk Assessment Policy 2026’; ‘C- Appendix 2 Main Risk assessment 2026’; ‘D-Appendix 3 App Resp Persons 2026’. The policies were ratified by the meeting</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57" w:after="177"/>
              <w:jc w:val="center"/>
              <w:rPr>
                <w:rFonts w:ascii="Arial" w:hAnsi="Arial" w:eastAsia="Arial" w:cs="Arial"/>
                <w:sz w:val="18"/>
                <w:szCs w:val="18"/>
              </w:rPr>
            </w:pPr>
            <w:r>
              <w:rPr>
                <w:rFonts w:eastAsia="Arial" w:cs="Arial" w:ascii="Arial" w:hAnsi="Arial"/>
                <w:sz w:val="18"/>
                <w:szCs w:val="18"/>
              </w:rPr>
              <w:t>Peter to post on the website and on the Centre’s OneDrive storage</w:t>
            </w:r>
          </w:p>
        </w:tc>
      </w:tr>
      <w:tr>
        <w:trPr>
          <w:trHeight w:val="634" w:hRule="atLeast"/>
        </w:trPr>
        <w:tc>
          <w:tcPr>
            <w:tcW w:w="1740" w:type="dxa"/>
            <w:tcBorders>
              <w:left w:val="single" w:sz="4" w:space="0" w:color="000000"/>
            </w:tcBorders>
            <w:shd w:color="auto" w:fill="FFFFFF" w:val="clear"/>
          </w:tcPr>
          <w:p>
            <w:pPr>
              <w:pStyle w:val="Normal"/>
              <w:widowControl w:val="false"/>
              <w:spacing w:lineRule="auto" w:line="240" w:before="57" w:after="0"/>
              <w:rPr>
                <w:color w:val="000000"/>
              </w:rPr>
            </w:pPr>
            <w:r>
              <w:rPr>
                <w:rFonts w:eastAsia="Arial" w:cs="Arial" w:ascii="Arial" w:hAnsi="Arial"/>
                <w:b/>
                <w:color w:val="000000"/>
                <w:sz w:val="21"/>
                <w:szCs w:val="21"/>
              </w:rPr>
              <w:t>9. Secretary’s report</w:t>
            </w:r>
          </w:p>
        </w:tc>
        <w:tc>
          <w:tcPr>
            <w:tcW w:w="7027" w:type="dxa"/>
            <w:tcBorders>
              <w:left w:val="single" w:sz="4" w:space="0" w:color="000000"/>
            </w:tcBorders>
            <w:shd w:color="auto" w:fill="FFFFFF" w:val="clear"/>
          </w:tcPr>
          <w:p>
            <w:pPr>
              <w:pStyle w:val="Normal"/>
              <w:widowControl w:val="false"/>
              <w:spacing w:lineRule="auto" w:line="240" w:before="57" w:after="57"/>
              <w:ind w:hanging="0" w:left="57" w:right="57"/>
              <w:rPr>
                <w:rFonts w:ascii="Arial" w:hAnsi="Arial"/>
              </w:rPr>
            </w:pPr>
            <w:r>
              <w:rPr>
                <w:rFonts w:eastAsia="Arial" w:cs="Arial" w:ascii="Arial" w:hAnsi="Arial"/>
                <w:color w:val="000000"/>
              </w:rPr>
              <w:t xml:space="preserve">9.1. </w:t>
            </w:r>
            <w:r>
              <w:rPr>
                <w:rFonts w:eastAsia="Arial" w:cs="Arial" w:ascii="Arial" w:hAnsi="Arial"/>
                <w:b/>
                <w:bCs/>
                <w:color w:val="000000"/>
              </w:rPr>
              <w:t>Website statistics</w:t>
            </w:r>
            <w:r>
              <w:rPr>
                <w:rFonts w:eastAsia="Arial" w:cs="Arial" w:ascii="Arial" w:hAnsi="Arial"/>
                <w:color w:val="000000"/>
              </w:rPr>
              <w:t>: the statistics for last year showed that the website viewing was over 6,400 hits with over 3,000 viewers, an increase of 115% over 2024. trustees were invited to comment of the website and social media platforms</w:t>
            </w:r>
          </w:p>
          <w:p>
            <w:pPr>
              <w:pStyle w:val="Normal"/>
              <w:widowControl w:val="false"/>
              <w:spacing w:lineRule="auto" w:line="240" w:before="57" w:after="57"/>
              <w:ind w:hanging="0" w:left="57" w:right="57"/>
              <w:rPr>
                <w:rFonts w:ascii="Arial" w:hAnsi="Arial"/>
              </w:rPr>
            </w:pPr>
            <w:r>
              <w:rPr>
                <w:rFonts w:eastAsia="Arial" w:cs="Arial" w:ascii="Arial" w:hAnsi="Arial"/>
                <w:color w:val="000000"/>
              </w:rPr>
              <w:t>Facebook and Instagram presence continue to be ably managed by Anna Linfoot’s (Social Media volunteer) contribution.</w:t>
            </w:r>
          </w:p>
          <w:p>
            <w:pPr>
              <w:pStyle w:val="Normal"/>
              <w:widowControl w:val="false"/>
              <w:spacing w:lineRule="atLeast" w:line="100" w:before="57" w:after="137"/>
              <w:ind w:hanging="0" w:left="57" w:right="57"/>
              <w:rPr>
                <w:rFonts w:ascii="Arial" w:hAnsi="Arial"/>
              </w:rPr>
            </w:pPr>
            <w:r>
              <w:rPr>
                <w:rFonts w:eastAsia="Arial" w:cs="Arial" w:ascii="Arial" w:hAnsi="Arial"/>
                <w:color w:val="000000"/>
              </w:rPr>
              <w:t>We are currently publicising our new hall/room names and Christmas Fayre success as well as usual aspects such as Wellbeing and as Centre spaces available for hire.</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57" w:after="177"/>
              <w:jc w:val="center"/>
              <w:rPr>
                <w:rFonts w:ascii="Arial" w:hAnsi="Arial" w:eastAsia="Arial" w:cs="Arial"/>
                <w:sz w:val="18"/>
                <w:szCs w:val="18"/>
              </w:rPr>
            </w:pPr>
            <w:r>
              <w:rPr>
                <w:rFonts w:eastAsia="Arial" w:cs="Arial" w:ascii="Arial" w:hAnsi="Arial"/>
                <w:sz w:val="18"/>
                <w:szCs w:val="18"/>
              </w:rPr>
            </w:r>
          </w:p>
        </w:tc>
      </w:tr>
      <w:tr>
        <w:trPr>
          <w:trHeight w:val="634" w:hRule="atLeast"/>
        </w:trPr>
        <w:tc>
          <w:tcPr>
            <w:tcW w:w="1740" w:type="dxa"/>
            <w:tcBorders>
              <w:left w:val="single" w:sz="4" w:space="0" w:color="000000"/>
            </w:tcBorders>
            <w:shd w:color="auto" w:fill="FFFFFF" w:val="clear"/>
          </w:tcPr>
          <w:p>
            <w:pPr>
              <w:pStyle w:val="Normal"/>
              <w:widowControl w:val="false"/>
              <w:spacing w:lineRule="auto" w:line="240" w:before="57" w:after="0"/>
              <w:rPr>
                <w:color w:val="000000"/>
              </w:rPr>
            </w:pPr>
            <w:r>
              <w:rPr>
                <w:color w:val="000000"/>
              </w:rPr>
            </w:r>
          </w:p>
        </w:tc>
        <w:tc>
          <w:tcPr>
            <w:tcW w:w="7027" w:type="dxa"/>
            <w:tcBorders>
              <w:left w:val="single" w:sz="4" w:space="0" w:color="000000"/>
            </w:tcBorders>
            <w:shd w:color="auto" w:fill="FFFFFF" w:val="clear"/>
          </w:tcPr>
          <w:p>
            <w:pPr>
              <w:pStyle w:val="Normal"/>
              <w:widowControl w:val="false"/>
              <w:spacing w:lineRule="atLeast" w:line="100" w:before="57" w:after="137"/>
              <w:ind w:hanging="0" w:left="57" w:right="57"/>
              <w:rPr>
                <w:rFonts w:ascii="Arial" w:hAnsi="Arial"/>
              </w:rPr>
            </w:pPr>
            <w:r>
              <w:rPr>
                <w:rFonts w:ascii="Arial" w:hAnsi="Arial"/>
              </w:rPr>
              <w:t xml:space="preserve">9.2. </w:t>
            </w:r>
            <w:r>
              <w:rPr>
                <w:rFonts w:ascii="Arial" w:hAnsi="Arial"/>
                <w:b/>
                <w:bCs/>
              </w:rPr>
              <w:t>Grants update</w:t>
            </w:r>
            <w:r>
              <w:rPr>
                <w:rFonts w:ascii="Arial" w:hAnsi="Arial"/>
              </w:rPr>
              <w:t>: we were unsuccessful with our application to Point North ‘Public Health Thriving Together’ but we are considering bids for Wellbeing support to believe housing, and for the School House lighting/power updates to Screwfix.</w:t>
            </w:r>
          </w:p>
          <w:p>
            <w:pPr>
              <w:pStyle w:val="Normal"/>
              <w:widowControl w:val="false"/>
              <w:spacing w:lineRule="atLeast" w:line="100" w:before="57" w:after="137"/>
              <w:ind w:hanging="0" w:left="57" w:right="57"/>
              <w:rPr>
                <w:rFonts w:ascii="Arial" w:hAnsi="Arial"/>
              </w:rPr>
            </w:pPr>
            <w:r>
              <w:rPr>
                <w:rFonts w:ascii="Arial" w:hAnsi="Arial"/>
              </w:rPr>
              <w:t>Trustees agreed to additional costs of £800 to fulfil the overall cost of the School House project (lighting/power outputs)</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57" w:after="177"/>
              <w:jc w:val="center"/>
              <w:rPr>
                <w:rFonts w:ascii="Arial" w:hAnsi="Arial" w:eastAsia="Arial" w:cs="Arial"/>
                <w:sz w:val="18"/>
                <w:szCs w:val="18"/>
              </w:rPr>
            </w:pPr>
            <w:r>
              <w:rPr>
                <w:rFonts w:eastAsia="Arial" w:cs="Arial" w:ascii="Arial" w:hAnsi="Arial"/>
                <w:sz w:val="18"/>
                <w:szCs w:val="18"/>
              </w:rPr>
              <w:t>Peter &amp; Rachael to meet Carol</w:t>
            </w:r>
          </w:p>
        </w:tc>
      </w:tr>
      <w:tr>
        <w:trPr>
          <w:trHeight w:val="634" w:hRule="atLeast"/>
        </w:trPr>
        <w:tc>
          <w:tcPr>
            <w:tcW w:w="1740" w:type="dxa"/>
            <w:tcBorders>
              <w:left w:val="single" w:sz="4" w:space="0" w:color="000000"/>
            </w:tcBorders>
            <w:shd w:color="auto" w:fill="FFFFFF" w:val="clear"/>
          </w:tcPr>
          <w:p>
            <w:pPr>
              <w:pStyle w:val="Normal"/>
              <w:widowControl w:val="false"/>
              <w:spacing w:lineRule="auto" w:line="240" w:before="57" w:after="0"/>
              <w:rPr>
                <w:color w:val="000000"/>
              </w:rPr>
            </w:pPr>
            <w:r>
              <w:rPr>
                <w:color w:val="000000"/>
              </w:rPr>
            </w:r>
          </w:p>
        </w:tc>
        <w:tc>
          <w:tcPr>
            <w:tcW w:w="7027" w:type="dxa"/>
            <w:tcBorders>
              <w:left w:val="single" w:sz="4" w:space="0" w:color="000000"/>
            </w:tcBorders>
            <w:shd w:color="auto" w:fill="FFFFFF" w:val="clear"/>
          </w:tcPr>
          <w:p>
            <w:pPr>
              <w:pStyle w:val="Normal"/>
              <w:widowControl w:val="false"/>
              <w:spacing w:lineRule="atLeast" w:line="100" w:before="57" w:after="137"/>
              <w:ind w:hanging="0" w:left="57" w:right="57"/>
              <w:rPr>
                <w:rFonts w:ascii="Arial" w:hAnsi="Arial"/>
              </w:rPr>
            </w:pPr>
            <w:r>
              <w:rPr>
                <w:rFonts w:ascii="Arial" w:hAnsi="Arial"/>
              </w:rPr>
              <w:t xml:space="preserve">9.3. </w:t>
            </w:r>
            <w:r>
              <w:rPr>
                <w:rFonts w:ascii="Arial" w:hAnsi="Arial"/>
                <w:b/>
                <w:bCs/>
              </w:rPr>
              <w:t>Annual review of Policies</w:t>
            </w:r>
            <w:r>
              <w:rPr>
                <w:rFonts w:ascii="Arial" w:hAnsi="Arial"/>
                <w:b w:val="false"/>
                <w:bCs w:val="false"/>
              </w:rPr>
              <w:t>: the Policy subcommittee of Malcolm, Kath and Peter will arrange to meet to review the remaining policies soon.</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57" w:after="177"/>
              <w:jc w:val="center"/>
              <w:rPr>
                <w:rFonts w:ascii="Arial" w:hAnsi="Arial" w:eastAsia="Arial" w:cs="Arial"/>
                <w:sz w:val="18"/>
                <w:szCs w:val="18"/>
              </w:rPr>
            </w:pPr>
            <w:r>
              <w:rPr>
                <w:rFonts w:eastAsia="Arial" w:cs="Arial" w:ascii="Arial" w:hAnsi="Arial"/>
                <w:sz w:val="18"/>
                <w:szCs w:val="18"/>
              </w:rPr>
              <w:t>Peter to arrange meetings</w:t>
            </w:r>
          </w:p>
        </w:tc>
      </w:tr>
      <w:tr>
        <w:trPr>
          <w:trHeight w:val="634" w:hRule="atLeast"/>
        </w:trPr>
        <w:tc>
          <w:tcPr>
            <w:tcW w:w="1740" w:type="dxa"/>
            <w:tcBorders>
              <w:left w:val="single" w:sz="4" w:space="0" w:color="000000"/>
            </w:tcBorders>
            <w:shd w:color="auto" w:fill="FFFFFF" w:val="clear"/>
          </w:tcPr>
          <w:p>
            <w:pPr>
              <w:pStyle w:val="Normal"/>
              <w:widowControl w:val="false"/>
              <w:spacing w:lineRule="auto" w:line="240" w:before="57" w:after="0"/>
              <w:rPr>
                <w:color w:val="000000"/>
              </w:rPr>
            </w:pPr>
            <w:r>
              <w:rPr>
                <w:color w:val="000000"/>
              </w:rPr>
            </w:r>
          </w:p>
        </w:tc>
        <w:tc>
          <w:tcPr>
            <w:tcW w:w="7027" w:type="dxa"/>
            <w:tcBorders>
              <w:left w:val="single" w:sz="4" w:space="0" w:color="000000"/>
            </w:tcBorders>
            <w:shd w:color="auto" w:fill="FFFFFF" w:val="clear"/>
          </w:tcPr>
          <w:p>
            <w:pPr>
              <w:pStyle w:val="Normal"/>
              <w:widowControl w:val="false"/>
              <w:spacing w:lineRule="auto" w:line="240" w:before="57" w:after="57"/>
              <w:ind w:hanging="0" w:left="57" w:right="57"/>
              <w:rPr>
                <w:rFonts w:ascii="Arial" w:hAnsi="Arial"/>
              </w:rPr>
            </w:pPr>
            <w:r>
              <w:rPr>
                <w:rFonts w:ascii="Arial" w:hAnsi="Arial"/>
              </w:rPr>
              <w:t>9.4.</w:t>
            </w:r>
            <w:r>
              <w:rPr>
                <w:rFonts w:ascii="Arial" w:hAnsi="Arial"/>
                <w:b/>
                <w:bCs/>
              </w:rPr>
              <w:t xml:space="preserve"> Gambling Act (Raffle Tickets)</w:t>
            </w:r>
            <w:r>
              <w:rPr>
                <w:rFonts w:ascii="Arial" w:hAnsi="Arial"/>
                <w:b w:val="false"/>
                <w:bCs w:val="false"/>
              </w:rPr>
              <w:t>: the Executive committee would like to seek permission for the two authorisers (Ian and Peter) of the return under the Lotteries Act for raffle ticket sales to be appointed to carry out this task until further notice as a Christmas Draw has become an annual occurrence.</w:t>
            </w:r>
          </w:p>
          <w:p>
            <w:pPr>
              <w:pStyle w:val="Normal"/>
              <w:widowControl w:val="false"/>
              <w:spacing w:lineRule="atLeast" w:line="100" w:before="57" w:after="137"/>
              <w:ind w:hanging="0" w:left="57" w:right="57"/>
              <w:rPr>
                <w:rFonts w:ascii="Arial" w:hAnsi="Arial"/>
              </w:rPr>
            </w:pPr>
            <w:r>
              <w:rPr>
                <w:rFonts w:ascii="Arial" w:hAnsi="Arial"/>
                <w:b w:val="false"/>
                <w:bCs w:val="false"/>
              </w:rPr>
              <w:t>It was agreed that Peter would produce a letter of confirmation to be submitted to the DCC with the Lottery return. The Centre has a licence from DCC costing £20 pa which is required under Lotteries Act so that we can sell tickets to the general public.</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tLeast" w:line="100" w:before="57" w:after="177"/>
              <w:jc w:val="center"/>
              <w:rPr>
                <w:rFonts w:ascii="Arial" w:hAnsi="Arial" w:eastAsia="Arial" w:cs="Arial"/>
                <w:sz w:val="18"/>
                <w:szCs w:val="18"/>
              </w:rPr>
            </w:pPr>
            <w:r>
              <w:rPr>
                <w:rFonts w:eastAsia="Arial" w:cs="Arial" w:ascii="Arial" w:hAnsi="Arial"/>
                <w:sz w:val="18"/>
                <w:szCs w:val="18"/>
              </w:rPr>
              <w:t>Peter to produce Lottery confirmation letter</w:t>
            </w:r>
          </w:p>
        </w:tc>
      </w:tr>
      <w:tr>
        <w:trPr>
          <w:trHeight w:val="23"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10. Building Compliance Managers Comments</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tabs>
                <w:tab w:val="clear" w:pos="720"/>
                <w:tab w:val="left" w:pos="390" w:leader="none"/>
                <w:tab w:val="left" w:pos="1185" w:leader="none"/>
              </w:tabs>
              <w:spacing w:lineRule="atLeast" w:line="100" w:before="57" w:after="85"/>
              <w:rPr>
                <w:rFonts w:ascii="Arial" w:hAnsi="Arial" w:eastAsia="Arial" w:cs="Arial"/>
                <w:color w:val="000000"/>
              </w:rPr>
            </w:pPr>
            <w:r>
              <w:rPr>
                <w:rFonts w:eastAsia="Arial" w:cs="Arial" w:ascii="Arial" w:hAnsi="Arial"/>
                <w:color w:val="000000"/>
              </w:rPr>
              <w:t xml:space="preserve">10.1. </w:t>
            </w:r>
            <w:r>
              <w:rPr>
                <w:rFonts w:eastAsia="Arial" w:cs="Arial" w:ascii="Arial" w:hAnsi="Arial"/>
                <w:b/>
                <w:bCs/>
                <w:color w:val="000000"/>
              </w:rPr>
              <w:t>Building Compliance Managers Report (no 48</w:t>
            </w:r>
            <w:r>
              <w:rPr>
                <w:rFonts w:eastAsia="Arial" w:cs="Arial" w:ascii="Arial" w:hAnsi="Arial"/>
                <w:color w:val="000000"/>
              </w:rPr>
              <w:t>)</w:t>
            </w:r>
            <w:r>
              <w:rPr>
                <w:rFonts w:eastAsia="Arial" w:cs="Arial" w:ascii="Arial" w:hAnsi="Arial"/>
                <w:b/>
                <w:bCs/>
                <w:color w:val="000000"/>
              </w:rPr>
              <w:t>:</w:t>
            </w:r>
            <w:r>
              <w:rPr>
                <w:rFonts w:eastAsia="Arial" w:cs="Arial" w:ascii="Arial" w:hAnsi="Arial"/>
                <w:color w:val="000000"/>
              </w:rPr>
              <w:t xml:space="preserve"> Ken’s report was issued prior to the meeting</w:t>
            </w:r>
            <w:r>
              <w:rPr>
                <w:rFonts w:eastAsia="Arial" w:cs="Arial" w:ascii="Arial" w:hAnsi="Arial"/>
              </w:rPr>
              <w:t>. Routine monthly inspections of Legionella had been carried out.</w:t>
            </w:r>
          </w:p>
          <w:p>
            <w:pPr>
              <w:pStyle w:val="Normal"/>
              <w:widowControl w:val="false"/>
              <w:tabs>
                <w:tab w:val="clear" w:pos="720"/>
                <w:tab w:val="left" w:pos="390" w:leader="none"/>
                <w:tab w:val="left" w:pos="1185" w:leader="none"/>
              </w:tabs>
              <w:spacing w:lineRule="atLeast" w:line="100" w:before="57" w:after="85"/>
              <w:rPr>
                <w:color w:val="000000"/>
              </w:rPr>
            </w:pPr>
            <w:r>
              <w:rPr>
                <w:rFonts w:eastAsia="Arial" w:cs="Arial" w:ascii="Arial" w:hAnsi="Arial"/>
                <w:color w:val="000000"/>
              </w:rPr>
              <w:t>Building compliance cost to date is a total of £2,503.16</w:t>
            </w:r>
          </w:p>
          <w:p>
            <w:pPr>
              <w:pStyle w:val="Normal"/>
              <w:widowControl w:val="false"/>
              <w:tabs>
                <w:tab w:val="clear" w:pos="720"/>
                <w:tab w:val="left" w:pos="390" w:leader="none"/>
                <w:tab w:val="left" w:pos="1185" w:leader="none"/>
              </w:tabs>
              <w:spacing w:lineRule="atLeast" w:line="100" w:before="57" w:after="85"/>
              <w:rPr>
                <w:color w:val="000000"/>
              </w:rPr>
            </w:pPr>
            <w:r>
              <w:rPr>
                <w:rFonts w:eastAsia="Arial" w:cs="Arial" w:ascii="Arial" w:hAnsi="Arial"/>
                <w:color w:val="000000"/>
              </w:rPr>
              <w:t>Building maintenance cost for this period is £7,696.71 at £641.40 a month to date.</w:t>
            </w:r>
          </w:p>
          <w:p>
            <w:pPr>
              <w:pStyle w:val="Normal"/>
              <w:widowControl w:val="false"/>
              <w:tabs>
                <w:tab w:val="clear" w:pos="720"/>
                <w:tab w:val="left" w:pos="390" w:leader="none"/>
                <w:tab w:val="left" w:pos="1185" w:leader="none"/>
              </w:tabs>
              <w:spacing w:lineRule="atLeast" w:line="100" w:before="57" w:after="85"/>
              <w:rPr>
                <w:color w:val="000000"/>
              </w:rPr>
            </w:pPr>
            <w:r>
              <w:rPr>
                <w:rFonts w:eastAsia="Arial" w:cs="Arial" w:ascii="Arial" w:hAnsi="Arial"/>
                <w:color w:val="000000"/>
              </w:rPr>
              <w:t>The Final total at completion of work on School House ground floor area redevelopment stands at £19,585.28.</w:t>
            </w:r>
          </w:p>
          <w:p>
            <w:pPr>
              <w:pStyle w:val="Normal"/>
              <w:widowControl w:val="false"/>
              <w:tabs>
                <w:tab w:val="clear" w:pos="720"/>
                <w:tab w:val="left" w:pos="390" w:leader="none"/>
                <w:tab w:val="left" w:pos="1185" w:leader="none"/>
              </w:tabs>
              <w:spacing w:lineRule="atLeast" w:line="100" w:before="57" w:after="85"/>
              <w:rPr>
                <w:color w:val="000000"/>
              </w:rPr>
            </w:pPr>
            <w:r>
              <w:rPr>
                <w:rFonts w:eastAsia="Arial" w:cs="Arial" w:ascii="Arial" w:hAnsi="Arial"/>
                <w:color w:val="000000"/>
              </w:rPr>
              <w:t>2025 Building Maintenance and Building Compliance Costs are a combined total to date of £10,199.87 running @ £849.98 per month.</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63"/>
              <w:jc w:val="center"/>
              <w:rPr>
                <w:rFonts w:ascii="Arial" w:hAnsi="Arial" w:eastAsia="Arial" w:cs="Arial"/>
                <w:color w:val="000000"/>
                <w:sz w:val="18"/>
                <w:szCs w:val="18"/>
              </w:rPr>
            </w:pPr>
            <w:r>
              <w:rPr>
                <w:rFonts w:eastAsia="Arial" w:cs="Arial" w:ascii="Arial" w:hAnsi="Arial"/>
                <w:color w:val="000000"/>
                <w:sz w:val="18"/>
                <w:szCs w:val="18"/>
              </w:rPr>
            </w:r>
          </w:p>
        </w:tc>
      </w:tr>
      <w:tr>
        <w:trPr>
          <w:trHeight w:val="2744" w:hRule="atLeast"/>
        </w:trPr>
        <w:tc>
          <w:tcPr>
            <w:tcW w:w="1740" w:type="dxa"/>
            <w:tcBorders>
              <w:left w:val="single" w:sz="4" w:space="0" w:color="000000"/>
              <w:bottom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11. Christmas Fayre</w:t>
            </w:r>
          </w:p>
        </w:tc>
        <w:tc>
          <w:tcPr>
            <w:tcW w:w="7027" w:type="dxa"/>
            <w:tcBorders>
              <w:left w:val="single" w:sz="4" w:space="0" w:color="000000"/>
              <w:bottom w:val="single" w:sz="4" w:space="0" w:color="000000"/>
            </w:tcBorders>
            <w:shd w:color="auto" w:fill="FFFFFF" w:val="clear"/>
          </w:tcPr>
          <w:p>
            <w:pPr>
              <w:pStyle w:val="Normal"/>
              <w:widowControl w:val="false"/>
              <w:tabs>
                <w:tab w:val="clear" w:pos="720"/>
                <w:tab w:val="left" w:pos="390" w:leader="none"/>
                <w:tab w:val="left" w:pos="1185" w:leader="none"/>
              </w:tabs>
              <w:spacing w:lineRule="atLeast" w:line="100" w:before="57" w:after="85"/>
              <w:rPr>
                <w:rFonts w:ascii="Arial" w:hAnsi="Arial"/>
              </w:rPr>
            </w:pPr>
            <w:r>
              <w:rPr>
                <w:rFonts w:ascii="Arial" w:hAnsi="Arial"/>
              </w:rPr>
              <w:t xml:space="preserve">11.1. </w:t>
            </w:r>
            <w:r>
              <w:rPr>
                <w:rFonts w:ascii="Arial" w:hAnsi="Arial"/>
                <w:b/>
                <w:bCs/>
              </w:rPr>
              <w:t>Christmas Fayre subcommittee review</w:t>
            </w:r>
            <w:r>
              <w:rPr>
                <w:rFonts w:ascii="Arial" w:hAnsi="Arial"/>
              </w:rPr>
              <w:t>: the subcommittee: Jim, Rachael, Ian and Peter met to review the event and have issued a report prior to the meeting. The event more than broke even and as its target of attracting the local community to the Centre was achieved. Key issues from the review were:</w:t>
            </w:r>
          </w:p>
          <w:p>
            <w:pPr>
              <w:pStyle w:val="Normal"/>
              <w:widowControl w:val="false"/>
              <w:numPr>
                <w:ilvl w:val="0"/>
                <w:numId w:val="1"/>
              </w:numPr>
              <w:tabs>
                <w:tab w:val="clear" w:pos="720"/>
                <w:tab w:val="left" w:pos="390" w:leader="none"/>
                <w:tab w:val="left" w:pos="1185" w:leader="none"/>
              </w:tabs>
              <w:spacing w:lineRule="auto" w:line="240" w:before="57" w:after="57"/>
              <w:rPr>
                <w:rFonts w:ascii="Arial" w:hAnsi="Arial"/>
              </w:rPr>
            </w:pPr>
            <w:r>
              <w:rPr>
                <w:rFonts w:ascii="Arial" w:hAnsi="Arial"/>
              </w:rPr>
              <w:t>Hall 1: Brockwell was underused whilst the Choirs weren’t singing – in future we considered adding food (eg mince pies, Xmas cupcakes) and selling hot drink; moving the seating; giving people entering a cloakroom ticket with a draw for a small prize; offering Late stall holders a stall at a reduced cost.</w:t>
            </w:r>
          </w:p>
          <w:p>
            <w:pPr>
              <w:pStyle w:val="Normal"/>
              <w:widowControl w:val="false"/>
              <w:numPr>
                <w:ilvl w:val="0"/>
                <w:numId w:val="1"/>
              </w:numPr>
              <w:tabs>
                <w:tab w:val="clear" w:pos="720"/>
                <w:tab w:val="left" w:pos="390" w:leader="none"/>
                <w:tab w:val="left" w:pos="1185" w:leader="none"/>
              </w:tabs>
              <w:spacing w:lineRule="auto" w:line="240" w:before="0" w:after="57"/>
              <w:rPr>
                <w:rFonts w:ascii="Arial" w:hAnsi="Arial"/>
              </w:rPr>
            </w:pPr>
            <w:r>
              <w:rPr>
                <w:rFonts w:ascii="Arial" w:hAnsi="Arial"/>
              </w:rPr>
              <w:t>Considering ‘outside music to attract more people to attend. Julia mentioned that brass bands were popular Christmas entertainment and Malcolm mentioned the Fairground organ.</w:t>
            </w:r>
          </w:p>
          <w:p>
            <w:pPr>
              <w:pStyle w:val="Normal"/>
              <w:widowControl w:val="false"/>
              <w:numPr>
                <w:ilvl w:val="0"/>
                <w:numId w:val="1"/>
              </w:numPr>
              <w:tabs>
                <w:tab w:val="clear" w:pos="720"/>
                <w:tab w:val="left" w:pos="390" w:leader="none"/>
                <w:tab w:val="left" w:pos="1185" w:leader="none"/>
              </w:tabs>
              <w:spacing w:lineRule="auto" w:line="240" w:before="0" w:after="57"/>
              <w:rPr/>
            </w:pPr>
            <w:r>
              <w:rPr>
                <w:rFonts w:ascii="Arial" w:hAnsi="Arial"/>
              </w:rPr>
              <w:t>Crafting was popular as usual and we managed to to keep children’s crafting simple and inexpensive to run.</w:t>
            </w:r>
          </w:p>
          <w:p>
            <w:pPr>
              <w:pStyle w:val="Normal"/>
              <w:widowControl w:val="false"/>
              <w:numPr>
                <w:ilvl w:val="0"/>
                <w:numId w:val="1"/>
              </w:numPr>
              <w:tabs>
                <w:tab w:val="clear" w:pos="720"/>
                <w:tab w:val="left" w:pos="390" w:leader="none"/>
                <w:tab w:val="left" w:pos="1185" w:leader="none"/>
              </w:tabs>
              <w:spacing w:lineRule="auto" w:line="240" w:before="0" w:after="57"/>
              <w:rPr/>
            </w:pPr>
            <w:r>
              <w:rPr>
                <w:rFonts w:ascii="Arial" w:hAnsi="Arial"/>
              </w:rPr>
              <w:t>The Raffle prizes were successful but ‘profits’ were lower than last year. Thanks to all trustees for selling tickets and donating prizes.</w:t>
            </w:r>
          </w:p>
          <w:p>
            <w:pPr>
              <w:pStyle w:val="Normal"/>
              <w:widowControl w:val="false"/>
              <w:numPr>
                <w:ilvl w:val="0"/>
                <w:numId w:val="1"/>
              </w:numPr>
              <w:tabs>
                <w:tab w:val="clear" w:pos="720"/>
                <w:tab w:val="left" w:pos="390" w:leader="none"/>
                <w:tab w:val="left" w:pos="1185" w:leader="none"/>
              </w:tabs>
              <w:spacing w:lineRule="auto" w:line="240" w:before="0" w:after="57"/>
              <w:rPr/>
            </w:pPr>
            <w:r>
              <w:rPr>
                <w:rFonts w:ascii="Arial" w:hAnsi="Arial"/>
              </w:rPr>
              <w:t>Local Primary school choirs were a success as usual.</w:t>
            </w:r>
          </w:p>
          <w:p>
            <w:pPr>
              <w:pStyle w:val="Normal"/>
              <w:widowControl w:val="false"/>
              <w:numPr>
                <w:ilvl w:val="0"/>
                <w:numId w:val="1"/>
              </w:numPr>
              <w:tabs>
                <w:tab w:val="clear" w:pos="720"/>
                <w:tab w:val="left" w:pos="390" w:leader="none"/>
                <w:tab w:val="left" w:pos="1185" w:leader="none"/>
              </w:tabs>
              <w:spacing w:lineRule="auto" w:line="240" w:before="0" w:after="57"/>
              <w:rPr>
                <w:rFonts w:ascii="Arial" w:hAnsi="Arial"/>
              </w:rPr>
            </w:pPr>
            <w:r>
              <w:rPr>
                <w:rFonts w:ascii="Arial" w:hAnsi="Arial"/>
              </w:rPr>
              <w:t>Volunteers and the Scout Group were a huge part of the event’s success. Everyone has been thanked</w:t>
            </w:r>
          </w:p>
          <w:p>
            <w:pPr>
              <w:pStyle w:val="Normal"/>
              <w:widowControl w:val="false"/>
              <w:numPr>
                <w:ilvl w:val="0"/>
                <w:numId w:val="1"/>
              </w:numPr>
              <w:tabs>
                <w:tab w:val="clear" w:pos="720"/>
                <w:tab w:val="left" w:pos="390" w:leader="none"/>
                <w:tab w:val="left" w:pos="1185" w:leader="none"/>
              </w:tabs>
              <w:spacing w:lineRule="atLeast" w:line="100" w:before="57" w:after="85"/>
              <w:rPr>
                <w:rFonts w:ascii="Arial" w:hAnsi="Arial"/>
              </w:rPr>
            </w:pPr>
            <w:r>
              <w:rPr>
                <w:rFonts w:ascii="Arial" w:hAnsi="Arial"/>
              </w:rPr>
              <w:t>The Cake stall and refreshments were also popular.</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62"/>
              <w:jc w:val="center"/>
              <w:rPr>
                <w:rFonts w:ascii="Arial" w:hAnsi="Arial" w:eastAsia="Arial" w:cs="Arial"/>
                <w:color w:val="000000"/>
                <w:sz w:val="18"/>
                <w:szCs w:val="18"/>
              </w:rPr>
            </w:pPr>
            <w:r>
              <w:rPr>
                <w:rFonts w:eastAsia="Arial" w:cs="Arial" w:ascii="Arial" w:hAnsi="Arial"/>
                <w:color w:val="000000"/>
                <w:sz w:val="18"/>
                <w:szCs w:val="18"/>
              </w:rPr>
            </w:r>
          </w:p>
        </w:tc>
      </w:tr>
      <w:tr>
        <w:trPr>
          <w:trHeight w:val="23" w:hRule="atLeast"/>
        </w:trPr>
        <w:tc>
          <w:tcPr>
            <w:tcW w:w="1740" w:type="dxa"/>
            <w:tcBorders>
              <w:left w:val="single" w:sz="4" w:space="0" w:color="000000"/>
            </w:tcBorders>
            <w:shd w:color="auto" w:fill="FFFFFF" w:val="clear"/>
          </w:tcPr>
          <w:p>
            <w:pPr>
              <w:pStyle w:val="Normal"/>
              <w:widowControl w:val="false"/>
              <w:spacing w:lineRule="auto" w:line="240" w:before="57" w:after="57"/>
              <w:rPr/>
            </w:pPr>
            <w:r>
              <w:rPr>
                <w:rFonts w:eastAsia="Arial" w:cs="Arial" w:ascii="Arial" w:hAnsi="Arial"/>
                <w:b/>
                <w:sz w:val="21"/>
                <w:szCs w:val="21"/>
              </w:rPr>
              <w:t>12. Other Trustee reports</w:t>
            </w:r>
          </w:p>
        </w:tc>
        <w:tc>
          <w:tcPr>
            <w:tcW w:w="7027" w:type="dxa"/>
            <w:tcBorders>
              <w:left w:val="single" w:sz="4" w:space="0" w:color="000000"/>
              <w:bottom w:val="single" w:sz="4" w:space="0" w:color="000000"/>
            </w:tcBorders>
            <w:shd w:color="auto" w:fill="FFFFFF" w:val="clear"/>
          </w:tcPr>
          <w:p>
            <w:pPr>
              <w:pStyle w:val="Normal"/>
              <w:widowControl w:val="false"/>
              <w:tabs>
                <w:tab w:val="clear" w:pos="720"/>
                <w:tab w:val="left" w:pos="390" w:leader="none"/>
                <w:tab w:val="left" w:pos="1185" w:leader="none"/>
              </w:tabs>
              <w:spacing w:lineRule="atLeast" w:line="100" w:before="57" w:after="85"/>
              <w:rPr>
                <w:rFonts w:ascii="Arial" w:hAnsi="Arial" w:eastAsia="Arial" w:cs="Arial"/>
                <w:color w:val="000000"/>
              </w:rPr>
            </w:pPr>
            <w:r>
              <w:rPr>
                <w:rFonts w:eastAsia="Arial" w:cs="Arial" w:ascii="Arial" w:hAnsi="Arial"/>
                <w:color w:val="000000"/>
              </w:rPr>
              <w:t>12.1. none received.</w:t>
            </w:r>
          </w:p>
        </w:tc>
        <w:tc>
          <w:tcPr>
            <w:tcW w:w="1538" w:type="dxa"/>
            <w:tcBorders>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63"/>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pacing w:lineRule="atLeast" w:line="100" w:before="0" w:after="63"/>
              <w:jc w:val="center"/>
              <w:rPr>
                <w:rFonts w:ascii="Arial" w:hAnsi="Arial" w:eastAsia="Arial" w:cs="Arial"/>
                <w:color w:val="000000"/>
                <w:sz w:val="18"/>
                <w:szCs w:val="18"/>
              </w:rPr>
            </w:pPr>
            <w:r>
              <w:rPr>
                <w:rFonts w:eastAsia="Arial" w:cs="Arial" w:ascii="Arial" w:hAnsi="Arial"/>
                <w:color w:val="000000"/>
                <w:sz w:val="18"/>
                <w:szCs w:val="18"/>
              </w:rPr>
            </w:r>
          </w:p>
        </w:tc>
      </w:tr>
      <w:tr>
        <w:trPr>
          <w:trHeight w:val="678"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0"/>
              <w:rPr/>
            </w:pPr>
            <w:r>
              <w:rPr>
                <w:rFonts w:eastAsia="Arial" w:cs="Arial" w:ascii="Arial" w:hAnsi="Arial"/>
                <w:b/>
                <w:sz w:val="21"/>
                <w:szCs w:val="21"/>
              </w:rPr>
              <w:t>13. User Group Reports</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spacing w:lineRule="atLeast" w:line="100" w:before="57" w:after="57"/>
              <w:rPr>
                <w:rFonts w:ascii="Arial" w:hAnsi="Arial" w:eastAsia="Arial" w:cs="Arial"/>
                <w:color w:val="000000"/>
              </w:rPr>
            </w:pPr>
            <w:r>
              <w:rPr>
                <w:rFonts w:eastAsia="Arial" w:cs="Arial" w:ascii="Arial" w:hAnsi="Arial"/>
              </w:rPr>
              <w:t xml:space="preserve">13.1. </w:t>
            </w:r>
            <w:r>
              <w:rPr>
                <w:rFonts w:eastAsia="Arial" w:cs="Arial" w:ascii="Arial" w:hAnsi="Arial"/>
                <w:b/>
                <w:bCs/>
                <w:color w:val="000000"/>
              </w:rPr>
              <w:t>DCYP</w:t>
            </w:r>
            <w:r>
              <w:rPr>
                <w:rFonts w:eastAsia="Arial" w:cs="Arial" w:ascii="Arial" w:hAnsi="Arial"/>
                <w:color w:val="000000"/>
              </w:rPr>
              <w:t>: their committee were investigating hiring 2 School House office spaces as they are considering vacating the shared main office (as their numbers of staff are increasing). The Hall is provided free for youth clubs. DCYP may look for external office space.</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exact" w:line="200" w:before="0" w:after="120"/>
              <w:jc w:val="center"/>
              <w:rPr>
                <w:rFonts w:ascii="Arial" w:hAnsi="Arial" w:cs="Arial"/>
                <w:sz w:val="18"/>
                <w:szCs w:val="18"/>
              </w:rPr>
            </w:pPr>
            <w:r>
              <w:rPr>
                <w:rFonts w:cs="Arial" w:ascii="Arial" w:hAnsi="Arial"/>
                <w:sz w:val="18"/>
                <w:szCs w:val="18"/>
              </w:rPr>
            </w:r>
          </w:p>
        </w:tc>
      </w:tr>
      <w:tr>
        <w:trPr>
          <w:trHeight w:val="720" w:hRule="atLeast"/>
        </w:trPr>
        <w:tc>
          <w:tcPr>
            <w:tcW w:w="1740" w:type="dxa"/>
            <w:tcBorders>
              <w:left w:val="single" w:sz="4" w:space="0" w:color="000000"/>
            </w:tcBorders>
            <w:shd w:color="auto" w:fill="FFFFFF" w:val="clear"/>
          </w:tcPr>
          <w:p>
            <w:pPr>
              <w:pStyle w:val="Normal"/>
              <w:widowControl w:val="false"/>
              <w:spacing w:lineRule="auto" w:line="240" w:before="57" w:after="0"/>
              <w:rPr/>
            </w:pPr>
            <w:r>
              <w:rPr>
                <w:rFonts w:eastAsia="Arial" w:cs="Arial" w:ascii="Arial" w:hAnsi="Arial"/>
                <w:b/>
                <w:sz w:val="21"/>
                <w:szCs w:val="21"/>
              </w:rPr>
              <w:t>14. Any Other Business</w:t>
            </w:r>
          </w:p>
        </w:tc>
        <w:tc>
          <w:tcPr>
            <w:tcW w:w="7027" w:type="dxa"/>
            <w:tcBorders>
              <w:left w:val="single" w:sz="4" w:space="0" w:color="000000"/>
            </w:tcBorders>
            <w:shd w:color="auto" w:fill="FFFFFF" w:val="clear"/>
          </w:tcPr>
          <w:p>
            <w:pPr>
              <w:pStyle w:val="Normal"/>
              <w:widowControl w:val="false"/>
              <w:spacing w:lineRule="auto" w:line="240" w:before="57" w:after="113"/>
              <w:rPr>
                <w:rFonts w:ascii="Arial" w:hAnsi="Arial" w:eastAsia="Arial" w:cs="Arial"/>
              </w:rPr>
            </w:pPr>
            <w:r>
              <w:rPr>
                <w:rFonts w:eastAsia="Arial" w:cs="Arial" w:ascii="Arial" w:hAnsi="Arial"/>
              </w:rPr>
              <w:t>14.1. Update from the Parish Council about the state of the road from Front Street to the car park is still being investigated</w:t>
            </w:r>
          </w:p>
          <w:p>
            <w:pPr>
              <w:pStyle w:val="Normal"/>
              <w:widowControl w:val="false"/>
              <w:spacing w:lineRule="auto" w:line="240" w:before="57" w:after="113"/>
              <w:rPr/>
            </w:pPr>
            <w:r>
              <w:rPr>
                <w:rFonts w:eastAsia="Arial" w:cs="Arial" w:ascii="Arial" w:hAnsi="Arial"/>
              </w:rPr>
              <w:t>14.2. Business plan is being updated as we develop ways of ensuring the sustainability of the Centre</w:t>
            </w:r>
          </w:p>
          <w:p>
            <w:pPr>
              <w:pStyle w:val="Normal"/>
              <w:widowControl w:val="false"/>
              <w:spacing w:lineRule="auto" w:line="240" w:before="57" w:after="113"/>
              <w:rPr>
                <w:rFonts w:ascii="Arial" w:hAnsi="Arial" w:eastAsia="Arial" w:cs="Arial"/>
              </w:rPr>
            </w:pPr>
            <w:r>
              <w:rPr>
                <w:rFonts w:eastAsia="Arial" w:cs="Arial" w:ascii="Arial" w:hAnsi="Arial"/>
              </w:rPr>
              <w:t>14.3. Centre lease: the Executive group are exploring with DCC about extending the lease (to expire in 2043) to ensure we meet any conditions set by possible funders. DCC have said it is not possible to extend but we can apply for a new 30-year (or longer) lease. There are costs attached to doing this - £365 Surveyor and £550 for legal fees plus our own solicitor’s fee. Freehold was also mentioned by DCC but considered more difficult. To manage Trustees approved further investigation.</w:t>
            </w:r>
          </w:p>
        </w:tc>
        <w:tc>
          <w:tcPr>
            <w:tcW w:w="1538" w:type="dxa"/>
            <w:tcBorders>
              <w:left w:val="single" w:sz="4" w:space="0" w:color="000000"/>
              <w:right w:val="single" w:sz="4" w:space="0" w:color="000000"/>
            </w:tcBorders>
            <w:shd w:color="auto" w:fill="FFFFFF" w:val="clear"/>
          </w:tcPr>
          <w:p>
            <w:pPr>
              <w:pStyle w:val="Normal"/>
              <w:widowControl w:val="false"/>
              <w:snapToGrid w:val="false"/>
              <w:spacing w:lineRule="auto" w:line="240" w:before="57" w:after="57"/>
              <w:jc w:val="center"/>
              <w:rPr>
                <w:rFonts w:ascii="Arial" w:hAnsi="Arial" w:eastAsia="Arial" w:cs="Arial"/>
                <w:color w:val="000000"/>
                <w:sz w:val="18"/>
                <w:szCs w:val="18"/>
              </w:rPr>
            </w:pPr>
            <w:r>
              <w:rPr>
                <w:rFonts w:eastAsia="Arial" w:cs="Arial" w:ascii="Arial" w:hAnsi="Arial"/>
                <w:color w:val="000000"/>
                <w:sz w:val="18"/>
                <w:szCs w:val="18"/>
              </w:rPr>
              <w:t>Peter to check with Rachael about progress</w:t>
            </w:r>
          </w:p>
          <w:p>
            <w:pPr>
              <w:pStyle w:val="Normal"/>
              <w:widowControl w:val="false"/>
              <w:snapToGrid w:val="false"/>
              <w:spacing w:lineRule="auto" w:line="240" w:before="0" w:after="0"/>
              <w:jc w:val="center"/>
              <w:rPr>
                <w:rFonts w:ascii="Arial" w:hAnsi="Arial" w:eastAsia="Arial" w:cs="Arial"/>
                <w:color w:val="000000"/>
                <w:sz w:val="18"/>
                <w:szCs w:val="18"/>
              </w:rPr>
            </w:pPr>
            <w:r>
              <w:rPr>
                <w:rFonts w:eastAsia="Arial" w:cs="Arial" w:ascii="Arial" w:hAnsi="Arial"/>
                <w:color w:val="000000"/>
                <w:sz w:val="18"/>
                <w:szCs w:val="18"/>
              </w:rPr>
              <w:t>Peter to update and circulate</w:t>
            </w:r>
          </w:p>
          <w:p>
            <w:pPr>
              <w:pStyle w:val="Normal"/>
              <w:widowControl w:val="false"/>
              <w:snapToGrid w:val="false"/>
              <w:spacing w:lineRule="auto" w:line="240" w:before="57" w:after="0"/>
              <w:jc w:val="center"/>
              <w:rPr>
                <w:rFonts w:ascii="Arial" w:hAnsi="Arial" w:eastAsia="Arial" w:cs="Arial"/>
                <w:color w:val="000000"/>
                <w:sz w:val="18"/>
                <w:szCs w:val="18"/>
              </w:rPr>
            </w:pPr>
            <w:r>
              <w:rPr>
                <w:rFonts w:eastAsia="Arial" w:cs="Arial" w:ascii="Arial" w:hAnsi="Arial"/>
                <w:color w:val="000000"/>
                <w:sz w:val="18"/>
                <w:szCs w:val="18"/>
              </w:rPr>
            </w:r>
          </w:p>
          <w:p>
            <w:pPr>
              <w:pStyle w:val="Normal"/>
              <w:widowControl w:val="false"/>
              <w:snapToGrid w:val="false"/>
              <w:spacing w:lineRule="auto" w:line="240" w:before="57" w:after="0"/>
              <w:jc w:val="center"/>
              <w:rPr>
                <w:rFonts w:ascii="Arial" w:hAnsi="Arial" w:eastAsia="Arial" w:cs="Arial"/>
                <w:color w:val="000000"/>
                <w:sz w:val="18"/>
                <w:szCs w:val="18"/>
              </w:rPr>
            </w:pPr>
            <w:r>
              <w:rPr>
                <w:rFonts w:eastAsia="Arial" w:cs="Arial" w:ascii="Arial" w:hAnsi="Arial"/>
                <w:color w:val="000000"/>
                <w:sz w:val="18"/>
                <w:szCs w:val="18"/>
              </w:rPr>
              <w:t>Executive group to find out more information.</w:t>
            </w:r>
          </w:p>
        </w:tc>
      </w:tr>
      <w:tr>
        <w:trPr>
          <w:trHeight w:val="665" w:hRule="atLeast"/>
        </w:trPr>
        <w:tc>
          <w:tcPr>
            <w:tcW w:w="1740"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57" w:after="0"/>
              <w:rPr/>
            </w:pPr>
            <w:r>
              <w:rPr>
                <w:rFonts w:eastAsia="Arial" w:cs="Arial" w:ascii="Arial" w:hAnsi="Arial"/>
                <w:b/>
                <w:sz w:val="21"/>
                <w:szCs w:val="21"/>
              </w:rPr>
              <w:t>15. Next meeting</w:t>
            </w:r>
          </w:p>
        </w:tc>
        <w:tc>
          <w:tcPr>
            <w:tcW w:w="7027" w:type="dxa"/>
            <w:tcBorders>
              <w:top w:val="single" w:sz="4" w:space="0" w:color="000000"/>
              <w:left w:val="single" w:sz="4" w:space="0" w:color="000000"/>
              <w:bottom w:val="single" w:sz="4" w:space="0" w:color="000000"/>
            </w:tcBorders>
            <w:shd w:color="auto" w:fill="FFFFFF" w:val="clear"/>
          </w:tcPr>
          <w:p>
            <w:pPr>
              <w:pStyle w:val="Normal"/>
              <w:widowControl w:val="false"/>
              <w:spacing w:lineRule="atLeast" w:line="100" w:before="57" w:after="0"/>
              <w:rPr>
                <w:rFonts w:ascii="Arial" w:hAnsi="Arial" w:eastAsia="Arial" w:cs="Arial"/>
              </w:rPr>
            </w:pPr>
            <w:r>
              <w:rPr>
                <w:rFonts w:eastAsia="Arial" w:cs="Arial" w:ascii="Arial" w:hAnsi="Arial"/>
                <w:b/>
                <w:bCs/>
              </w:rPr>
              <w:t>Dates</w:t>
            </w:r>
            <w:r>
              <w:rPr>
                <w:rFonts w:eastAsia="Arial" w:cs="Arial" w:ascii="Arial" w:hAnsi="Arial"/>
              </w:rPr>
              <w:t xml:space="preserve"> of Next Management Meetings at </w:t>
            </w:r>
            <w:r>
              <w:rPr>
                <w:rFonts w:eastAsia="Times New Roman" w:cs="Arial" w:ascii="Arial" w:hAnsi="Arial"/>
                <w:b/>
              </w:rPr>
              <w:t xml:space="preserve">on Thursdays at </w:t>
            </w:r>
            <w:r>
              <w:rPr>
                <w:rFonts w:eastAsia="Arial" w:cs="Arial" w:ascii="Arial" w:hAnsi="Arial"/>
                <w:b/>
                <w:bCs/>
              </w:rPr>
              <w:t>11:30am</w:t>
            </w:r>
          </w:p>
          <w:p>
            <w:pPr>
              <w:pStyle w:val="Normal"/>
              <w:widowControl w:val="false"/>
              <w:spacing w:lineRule="auto" w:line="240" w:before="0" w:after="113"/>
              <w:rPr/>
            </w:pPr>
            <w:r>
              <w:rPr>
                <w:rFonts w:eastAsia="Arial" w:cs="Arial" w:ascii="Arial" w:hAnsi="Arial"/>
                <w:b w:val="false"/>
                <w:bCs w:val="false"/>
              </w:rPr>
              <w:t xml:space="preserve">In 2026 - </w:t>
            </w:r>
            <w:r>
              <w:rPr>
                <w:rFonts w:eastAsia="Arial" w:cs="Arial" w:ascii="Arial" w:hAnsi="Arial"/>
                <w:b/>
                <w:bCs/>
              </w:rPr>
              <w:t>26 March</w:t>
            </w:r>
            <w:r>
              <w:rPr>
                <w:rFonts w:eastAsia="Arial" w:cs="Arial" w:ascii="Arial" w:hAnsi="Arial"/>
                <w:b w:val="false"/>
                <w:bCs w:val="false"/>
              </w:rPr>
              <w:t>. AGM on 2 April 2026 (provisional)</w:t>
            </w:r>
          </w:p>
          <w:p>
            <w:pPr>
              <w:pStyle w:val="Normal"/>
              <w:widowControl w:val="false"/>
              <w:spacing w:lineRule="auto" w:line="240" w:before="0" w:after="113"/>
              <w:rPr>
                <w:rFonts w:ascii="Arial" w:hAnsi="Arial" w:eastAsia="Arial" w:cs="Arial"/>
                <w:b w:val="false"/>
                <w:bCs w:val="false"/>
              </w:rPr>
            </w:pPr>
            <w:r>
              <w:rPr>
                <w:rFonts w:eastAsia="Arial" w:cs="Arial" w:ascii="Arial" w:hAnsi="Arial"/>
                <w:b w:val="false"/>
                <w:bCs w:val="false"/>
              </w:rPr>
              <w:t>Trustees would consider alternative days as Carol did not work on Thursday to see if any the days were possible. Jim said that Monday was the only other practical option.</w:t>
            </w:r>
          </w:p>
        </w:tc>
        <w:tc>
          <w:tcPr>
            <w:tcW w:w="153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tLeast" w:line="100" w:before="0" w:after="120"/>
              <w:jc w:val="center"/>
              <w:rPr>
                <w:rFonts w:ascii="Arial" w:hAnsi="Arial" w:eastAsia="Arial" w:cs="Arial"/>
                <w:color w:val="000000"/>
                <w:sz w:val="18"/>
                <w:szCs w:val="18"/>
              </w:rPr>
            </w:pPr>
            <w:r>
              <w:rPr>
                <w:rFonts w:eastAsia="Arial" w:cs="Arial" w:ascii="Arial" w:hAnsi="Arial"/>
                <w:color w:val="000000"/>
                <w:sz w:val="18"/>
                <w:szCs w:val="18"/>
              </w:rPr>
            </w:r>
          </w:p>
        </w:tc>
      </w:tr>
    </w:tbl>
    <w:p>
      <w:pPr>
        <w:pStyle w:val="Normal"/>
        <w:spacing w:lineRule="atLeast" w:line="100" w:before="0" w:after="0"/>
        <w:rPr/>
      </w:pPr>
      <w:r>
        <w:rPr/>
      </w:r>
    </w:p>
    <w:p>
      <w:pPr>
        <w:pStyle w:val="Normal"/>
        <w:spacing w:lineRule="atLeast" w:line="100" w:before="0" w:after="0"/>
        <w:rPr/>
      </w:pPr>
      <w:r>
        <w:rPr/>
        <w:drawing>
          <wp:inline distT="0" distB="0" distL="0" distR="0">
            <wp:extent cx="1714500" cy="8858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714500" cy="885825"/>
                    </a:xfrm>
                    <a:prstGeom prst="rect">
                      <a:avLst/>
                    </a:prstGeom>
                    <a:noFill/>
                  </pic:spPr>
                </pic:pic>
              </a:graphicData>
            </a:graphic>
          </wp:inline>
        </w:drawing>
      </w:r>
      <w:r>
        <w:rPr/>
        <w:tab/>
        <w:tab/>
        <w:tab/>
      </w:r>
      <w:r>
        <w:rPr>
          <w:sz w:val="32"/>
          <w:szCs w:val="32"/>
        </w:rPr>
        <w:t>26/03/2026</w:t>
      </w:r>
    </w:p>
    <w:sectPr>
      <w:footerReference w:type="even" r:id="rId3"/>
      <w:footerReference w:type="default" r:id="rId4"/>
      <w:footerReference w:type="first" r:id="rId5"/>
      <w:type w:val="nextPage"/>
      <w:pgSz w:w="11906" w:h="16838"/>
      <w:pgMar w:left="1134" w:right="794" w:gutter="0" w:header="0" w:top="1020" w:footer="567" w:bottom="113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szCs w:val="18"/>
      </w:rPr>
      <w:t xml:space="preserve">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5</w:t>
    </w:r>
    <w:r>
      <w:rPr/>
      <w:fldChar w:fldCharType="end"/>
    </w:r>
    <w:r>
      <w:rPr>
        <w:sz w:val="18"/>
        <w:szCs w:val="18"/>
      </w:rPr>
      <w:tab/>
      <w:tab/>
    </w:r>
    <w:r>
      <w:rPr>
        <w:sz w:val="18"/>
        <w:szCs w:val="18"/>
      </w:rPr>
      <w:fldChar w:fldCharType="begin"/>
    </w:r>
    <w:r>
      <w:rPr>
        <w:sz w:val="18"/>
        <w:szCs w:val="18"/>
      </w:rPr>
      <w:instrText xml:space="preserve"> FILENAME </w:instrText>
    </w:r>
    <w:r>
      <w:rPr>
        <w:sz w:val="18"/>
        <w:szCs w:val="18"/>
      </w:rPr>
      <w:fldChar w:fldCharType="separate"/>
    </w:r>
    <w:r>
      <w:rPr>
        <w:sz w:val="18"/>
        <w:szCs w:val="18"/>
      </w:rPr>
      <w:t>2026 01 29 FMYCA Minutes.docx</w:t>
    </w:r>
    <w:r>
      <w:rPr>
        <w:sz w:val="18"/>
        <w:szCs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szCs w:val="18"/>
      </w:rPr>
      <w:t xml:space="preserve">Page </w:t>
    </w:r>
    <w:r>
      <w:rPr/>
      <w:fldChar w:fldCharType="begin"/>
    </w:r>
    <w:r>
      <w:rPr/>
      <w:instrText xml:space="preserve"> PAGE </w:instrText>
    </w:r>
    <w:r>
      <w:rPr/>
      <w:fldChar w:fldCharType="separate"/>
    </w:r>
    <w:r>
      <w:rPr/>
      <w:t>4</w:t>
    </w:r>
    <w:r>
      <w:rPr/>
      <w:fldChar w:fldCharType="end"/>
    </w:r>
    <w:r>
      <w:rPr/>
      <w:t>/</w:t>
    </w:r>
    <w:r>
      <w:rPr/>
      <w:fldChar w:fldCharType="begin"/>
    </w:r>
    <w:r>
      <w:rPr/>
      <w:instrText xml:space="preserve"> NUMPAGES </w:instrText>
    </w:r>
    <w:r>
      <w:rPr/>
      <w:fldChar w:fldCharType="separate"/>
    </w:r>
    <w:r>
      <w:rPr/>
      <w:t>5</w:t>
    </w:r>
    <w:r>
      <w:rPr/>
      <w:fldChar w:fldCharType="end"/>
    </w:r>
    <w:r>
      <w:rPr>
        <w:sz w:val="18"/>
        <w:szCs w:val="18"/>
      </w:rPr>
      <w:tab/>
      <w:tab/>
    </w:r>
    <w:r>
      <w:rPr>
        <w:sz w:val="18"/>
        <w:szCs w:val="18"/>
      </w:rPr>
      <w:fldChar w:fldCharType="begin"/>
    </w:r>
    <w:r>
      <w:rPr>
        <w:sz w:val="18"/>
        <w:szCs w:val="18"/>
      </w:rPr>
      <w:instrText xml:space="preserve"> FILENAME </w:instrText>
    </w:r>
    <w:r>
      <w:rPr>
        <w:sz w:val="18"/>
        <w:szCs w:val="18"/>
      </w:rPr>
      <w:fldChar w:fldCharType="separate"/>
    </w:r>
    <w:r>
      <w:rPr>
        <w:sz w:val="18"/>
        <w:szCs w:val="18"/>
      </w:rPr>
      <w:t>2026 01 29 FMYCA Minutes.docx</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14cc"/>
    <w:pPr>
      <w:widowControl/>
      <w:suppressAutoHyphens w:val="true"/>
      <w:bidi w:val="0"/>
      <w:spacing w:lineRule="auto" w:line="276" w:before="0" w:after="200"/>
      <w:jc w:val="left"/>
    </w:pPr>
    <w:rPr>
      <w:rFonts w:ascii="Calibri" w:hAnsi="Calibri" w:eastAsia="Segoe UI" w:cs="Tahoma"/>
      <w:color w:val="00000A"/>
      <w:kern w:val="2"/>
      <w:sz w:val="22"/>
      <w:szCs w:val="22"/>
      <w:lang w:val="en-GB" w:eastAsia="en-GB"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rFonts w:cs="Arial"/>
      <w:lang w:val="en-GB"/>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BalloonTextChar" w:customStyle="1">
    <w:name w:val="Balloon Text Char"/>
    <w:basedOn w:val="DefaultParagraphFont"/>
    <w:qFormat/>
    <w:rPr>
      <w:rFonts w:ascii="Tahoma" w:hAnsi="Tahoma" w:cs="Tahoma"/>
      <w:sz w:val="16"/>
      <w:szCs w:val="16"/>
    </w:rPr>
  </w:style>
  <w:style w:type="character" w:styleId="NumberingSymbols" w:customStyle="1">
    <w:name w:val="Numbering Symbols"/>
    <w:qFormat/>
    <w:rPr/>
  </w:style>
  <w:style w:type="character" w:styleId="LineNumber">
    <w:name w:val="line number"/>
    <w:qFormat/>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customStyle="1">
    <w:name w:val="caption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pPr>
      <w:suppressLineNumbers/>
      <w:tabs>
        <w:tab w:val="clear" w:pos="720"/>
        <w:tab w:val="center" w:pos="4513" w:leader="none"/>
        <w:tab w:val="right" w:pos="9026" w:leader="none"/>
      </w:tabs>
      <w:spacing w:lineRule="atLeast" w:line="100" w:before="0" w:after="0"/>
    </w:pPr>
    <w:rPr/>
  </w:style>
  <w:style w:type="paragraph" w:styleId="Footer">
    <w:name w:val="footer"/>
    <w:basedOn w:val="Normal"/>
    <w:pPr>
      <w:suppressLineNumbers/>
      <w:tabs>
        <w:tab w:val="clear" w:pos="720"/>
        <w:tab w:val="center" w:pos="4513" w:leader="none"/>
        <w:tab w:val="right" w:pos="9026" w:leader="none"/>
      </w:tabs>
      <w:spacing w:lineRule="atLeast" w:line="100" w:before="0" w:after="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ListParagraph">
    <w:name w:val="List Paragraph"/>
    <w:basedOn w:val="Normal"/>
    <w:qFormat/>
    <w:pPr>
      <w:ind w:hanging="0" w:left="720"/>
    </w:pPr>
    <w:rPr/>
  </w:style>
  <w:style w:type="paragraph" w:styleId="BalloonText">
    <w:name w:val="Balloon Text"/>
    <w:basedOn w:val="Normal"/>
    <w:qFormat/>
    <w:pPr>
      <w:spacing w:lineRule="atLeast" w:line="100" w:before="0" w:after="0"/>
    </w:pPr>
    <w:rPr>
      <w:rFonts w:ascii="Tahoma" w:hAnsi="Tahoma"/>
      <w:sz w:val="16"/>
      <w:szCs w:val="16"/>
    </w:rPr>
  </w:style>
  <w:style w:type="paragraph" w:styleId="Revision">
    <w:name w:val="Revision"/>
    <w:uiPriority w:val="99"/>
    <w:semiHidden/>
    <w:qFormat/>
    <w:rsid w:val="004314cc"/>
    <w:pPr>
      <w:widowControl/>
      <w:suppressAutoHyphens w:val="false"/>
      <w:bidi w:val="0"/>
      <w:spacing w:before="0" w:after="0"/>
      <w:jc w:val="left"/>
    </w:pPr>
    <w:rPr>
      <w:rFonts w:ascii="Calibri" w:hAnsi="Calibri" w:eastAsia="Segoe UI" w:cs="Tahoma"/>
      <w:color w:val="00000A"/>
      <w:kern w:val="2"/>
      <w:sz w:val="22"/>
      <w:szCs w:val="22"/>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1363</TotalTime>
  <Application>LibreOffice/25.8.5.2$Windows_X86_64 LibreOffice_project/9c8b85f387cc00a89945a79c9e6239f32e450ac2</Application>
  <AppVersion>15.0000</AppVersion>
  <Pages>5</Pages>
  <Words>2385</Words>
  <Characters>11919</Characters>
  <CharactersWithSpaces>14198</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2020-08-15T12:43:50Z</dcterms:created>
  <dc:creator/>
  <dc:description/>
  <dc:language>en-GB</dc:language>
  <cp:lastModifiedBy/>
  <cp:lastPrinted>2024-01-23T15:40:04Z</cp:lastPrinted>
  <dcterms:modified xsi:type="dcterms:W3CDTF">2026-03-26T17:56:14Z</dcterms:modified>
  <cp:revision>1365</cp:revision>
  <dc:subject/>
  <dc:title/>
</cp:coreProperties>
</file>

<file path=docProps/custom.xml><?xml version="1.0" encoding="utf-8"?>
<Properties xmlns="http://schemas.openxmlformats.org/officeDocument/2006/custom-properties" xmlns:vt="http://schemas.openxmlformats.org/officeDocument/2006/docPropsVTypes"/>
</file>