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57" w:after="0"/>
        <w:jc w:val="center"/>
        <w:rPr>
          <w:rFonts w:ascii="Arial" w:hAnsi="Arial"/>
          <w:sz w:val="28"/>
          <w:szCs w:val="28"/>
        </w:rPr>
      </w:pPr>
      <w:r>
        <mc:AlternateContent>
          <mc:Choice Requires="wps">
            <w:drawing>
              <wp:anchor behindDoc="0" distT="635" distB="635" distL="635" distR="635" simplePos="0" locked="0" layoutInCell="1" allowOverlap="1" relativeHeight="5">
                <wp:simplePos x="0" y="0"/>
                <wp:positionH relativeFrom="column">
                  <wp:posOffset>313055</wp:posOffset>
                </wp:positionH>
                <wp:positionV relativeFrom="paragraph">
                  <wp:posOffset>-8890</wp:posOffset>
                </wp:positionV>
                <wp:extent cx="5212080" cy="809625"/>
                <wp:effectExtent l="635" t="635" r="635" b="635"/>
                <wp:wrapNone/>
                <wp:docPr id="1" name="Shape1"/>
                <a:graphic xmlns:a="http://schemas.openxmlformats.org/drawingml/2006/main">
                  <a:graphicData uri="http://schemas.microsoft.com/office/word/2010/wordprocessingShape">
                    <wps:wsp>
                      <wps:cNvSpPr/>
                      <wps:spPr>
                        <a:xfrm>
                          <a:off x="0" y="0"/>
                          <a:ext cx="5212080" cy="80964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ID="Shape1" path="m0,0l-2147483645,0l-2147483645,-2147483646l0,-2147483646xe" stroked="t" o:allowincell="f" style="position:absolute;margin-left:24.65pt;margin-top:-0.7pt;width:410.35pt;height:63.7pt;mso-wrap-style:none;v-text-anchor:middle">
                <v:fill o:detectmouseclick="t" on="false"/>
                <v:stroke color="black" joinstyle="round" endcap="flat"/>
                <w10:wrap type="none"/>
              </v:rect>
            </w:pict>
          </mc:Fallback>
        </mc:AlternateContent>
      </w:r>
      <w:r>
        <w:rPr>
          <w:rFonts w:ascii="Arial" w:hAnsi="Arial"/>
          <w:b/>
          <w:bCs/>
          <w:color w:val="000000"/>
          <w:sz w:val="28"/>
          <w:szCs w:val="28"/>
          <w:lang w:val="en-GB"/>
        </w:rPr>
        <w:t>Framwellgate Moor Youth &amp; Community Association</w:t>
      </w:r>
    </w:p>
    <w:p>
      <w:pPr>
        <w:pStyle w:val="Normal"/>
        <w:jc w:val="center"/>
        <w:rPr>
          <w:rFonts w:ascii="Arial" w:hAnsi="Arial"/>
        </w:rPr>
      </w:pPr>
      <w:r>
        <w:rPr>
          <w:rFonts w:ascii="Arial" w:hAnsi="Arial"/>
          <w:sz w:val="24"/>
          <w:szCs w:val="24"/>
          <w:lang w:val="en-GB"/>
        </w:rPr>
        <w:t>Registered Charity Number: 1154450</w:t>
      </w:r>
    </w:p>
    <w:p>
      <w:pPr>
        <w:pStyle w:val="Normal"/>
        <w:jc w:val="center"/>
        <w:rPr>
          <w:rFonts w:ascii="Arial" w:hAnsi="Arial"/>
          <w:sz w:val="16"/>
          <w:szCs w:val="16"/>
          <w:lang w:val="en-GB"/>
        </w:rPr>
      </w:pPr>
      <w:r>
        <w:rPr>
          <w:rFonts w:ascii="Arial" w:hAnsi="Arial"/>
          <w:sz w:val="16"/>
          <w:szCs w:val="16"/>
          <w:lang w:val="en-GB"/>
        </w:rPr>
      </w:r>
    </w:p>
    <w:p>
      <w:pPr>
        <w:pStyle w:val="Normal"/>
        <w:jc w:val="center"/>
        <w:rPr/>
      </w:pPr>
      <w:r>
        <w:rPr>
          <w:rFonts w:ascii="Arial" w:hAnsi="Arial"/>
          <w:b/>
          <w:bCs/>
          <w:color w:val="000000"/>
          <w:sz w:val="28"/>
          <w:szCs w:val="28"/>
          <w:lang w:val="en-GB"/>
        </w:rPr>
        <w:t>Health &amp; Safety Risk Assessment Policy - 2026</w:t>
      </w:r>
    </w:p>
    <w:p>
      <w:pPr>
        <w:pStyle w:val="Normal"/>
        <w:spacing w:before="114" w:after="114"/>
        <w:rPr>
          <w:rFonts w:ascii="Arial" w:hAnsi="Arial"/>
          <w:sz w:val="22"/>
          <w:szCs w:val="22"/>
          <w:lang w:val="en-GB"/>
        </w:rPr>
      </w:pPr>
      <w:r>
        <w:rPr>
          <w:rFonts w:ascii="Arial" w:hAnsi="Arial"/>
          <w:sz w:val="22"/>
          <w:szCs w:val="22"/>
          <w:lang w:val="en-GB"/>
        </w:rPr>
      </w:r>
    </w:p>
    <w:p>
      <w:pPr>
        <w:pStyle w:val="Normal"/>
        <w:spacing w:before="114" w:after="114"/>
        <w:rPr>
          <w:rFonts w:ascii="Arial" w:hAnsi="Arial"/>
          <w:sz w:val="22"/>
          <w:szCs w:val="22"/>
          <w:lang w:val="en-GB"/>
        </w:rPr>
      </w:pPr>
      <w:r>
        <w:rPr>
          <w:rFonts w:ascii="Arial" w:hAnsi="Arial"/>
          <w:sz w:val="22"/>
          <w:szCs w:val="22"/>
          <w:lang w:val="en-GB"/>
        </w:rPr>
        <w:t>This is the Health &amp; Safety Risk Assessment Policy of Framwellgate Moor Youth &amp; Community Association (FMYCA)</w:t>
      </w:r>
    </w:p>
    <w:p>
      <w:pPr>
        <w:pStyle w:val="Normal"/>
        <w:jc w:val="center"/>
        <w:rPr>
          <w:rFonts w:ascii="Arial" w:hAnsi="Arial"/>
        </w:rPr>
      </w:pPr>
      <w:r>
        <w:rPr>
          <w:rFonts w:ascii="Arial" w:hAnsi="Arial"/>
          <w:b/>
          <w:bCs/>
          <w:sz w:val="32"/>
          <w:szCs w:val="32"/>
          <w:lang w:val="en-GB"/>
        </w:rPr>
        <w:t>Risk Assessment Policy Appendix No 1</w:t>
      </w:r>
    </w:p>
    <w:p>
      <w:pPr>
        <w:pStyle w:val="Normal"/>
        <w:jc w:val="center"/>
        <w:rPr>
          <w:rFonts w:ascii="Arial" w:hAnsi="Arial"/>
          <w:lang w:val="en-GB"/>
        </w:rPr>
      </w:pPr>
      <w:r>
        <w:rPr>
          <w:rFonts w:ascii="Arial" w:hAnsi="Arial"/>
          <w:lang w:val="en-GB"/>
        </w:rPr>
      </w:r>
    </w:p>
    <w:p>
      <w:pPr>
        <w:pStyle w:val="Normal"/>
        <w:numPr>
          <w:ilvl w:val="0"/>
          <w:numId w:val="1"/>
        </w:numPr>
        <w:spacing w:before="57" w:after="57"/>
        <w:ind w:hanging="420" w:left="420"/>
        <w:jc w:val="both"/>
        <w:rPr>
          <w:rFonts w:ascii="Arial" w:hAnsi="Arial"/>
        </w:rPr>
      </w:pPr>
      <w:r>
        <w:rPr>
          <w:rFonts w:ascii="Arial" w:hAnsi="Arial"/>
          <w:sz w:val="24"/>
          <w:szCs w:val="24"/>
          <w:lang w:val="en-GB"/>
        </w:rPr>
        <w:t>It is the policy of FMYCA Board of Trustees to control, as far as reasonably possible, the risks to people who use the Community Centre and are involved in its use and upkeep.</w:t>
      </w:r>
    </w:p>
    <w:p>
      <w:pPr>
        <w:pStyle w:val="Normal"/>
        <w:numPr>
          <w:ilvl w:val="0"/>
          <w:numId w:val="1"/>
        </w:numPr>
        <w:spacing w:before="57" w:after="57"/>
        <w:ind w:hanging="420" w:left="420"/>
        <w:jc w:val="both"/>
        <w:rPr>
          <w:rFonts w:ascii="Arial" w:hAnsi="Arial"/>
        </w:rPr>
      </w:pPr>
      <w:r>
        <w:rPr>
          <w:rFonts w:ascii="Arial" w:hAnsi="Arial"/>
          <w:sz w:val="24"/>
          <w:szCs w:val="24"/>
          <w:lang w:val="en-GB"/>
        </w:rPr>
        <w:t>Although the Board of Trustees do not have a legal obligation to record the findings of risk assessments, as fewer than five people work for association, written assessments are retained on file.</w:t>
      </w:r>
    </w:p>
    <w:p>
      <w:pPr>
        <w:pStyle w:val="Normal"/>
        <w:numPr>
          <w:ilvl w:val="0"/>
          <w:numId w:val="1"/>
        </w:numPr>
        <w:spacing w:before="57" w:after="57"/>
        <w:ind w:hanging="420" w:left="420"/>
        <w:jc w:val="both"/>
        <w:rPr>
          <w:rFonts w:ascii="Arial" w:hAnsi="Arial"/>
        </w:rPr>
      </w:pPr>
      <w:r>
        <w:rPr>
          <w:rFonts w:ascii="Arial" w:hAnsi="Arial"/>
          <w:sz w:val="24"/>
          <w:szCs w:val="24"/>
          <w:lang w:val="en-GB"/>
        </w:rPr>
        <w:t>Much of the maintenance and repair work at the premises of FMYCA is carried out by external organisations, contractors &amp; self-employed workers, who have the responsibility for their own Health &amp; Safety and a duty of care to others.</w:t>
      </w:r>
    </w:p>
    <w:p>
      <w:pPr>
        <w:pStyle w:val="Normal"/>
        <w:numPr>
          <w:ilvl w:val="0"/>
          <w:numId w:val="1"/>
        </w:numPr>
        <w:spacing w:before="57" w:after="57"/>
        <w:ind w:hanging="420" w:left="420"/>
        <w:jc w:val="both"/>
        <w:rPr>
          <w:rFonts w:ascii="Arial" w:hAnsi="Arial"/>
        </w:rPr>
      </w:pPr>
      <w:r>
        <w:rPr>
          <w:rFonts w:ascii="Arial" w:hAnsi="Arial"/>
          <w:sz w:val="24"/>
          <w:szCs w:val="24"/>
          <w:lang w:val="en-GB"/>
        </w:rPr>
        <w:t>The Health &amp; Safety Committee is delegated to carry out risk assessments using the principals of HSE Guidance - Five Steps to Risk Assessment.</w:t>
      </w:r>
    </w:p>
    <w:p>
      <w:pPr>
        <w:pStyle w:val="Normal"/>
        <w:numPr>
          <w:ilvl w:val="0"/>
          <w:numId w:val="1"/>
        </w:numPr>
        <w:spacing w:before="57" w:after="57"/>
        <w:ind w:hanging="420" w:left="420"/>
        <w:jc w:val="both"/>
        <w:rPr>
          <w:rFonts w:ascii="Arial" w:hAnsi="Arial"/>
        </w:rPr>
      </w:pPr>
      <w:r>
        <w:rPr>
          <w:rFonts w:ascii="Arial" w:hAnsi="Arial"/>
          <w:sz w:val="24"/>
          <w:szCs w:val="24"/>
          <w:lang w:val="en-GB"/>
        </w:rPr>
        <w:t>The risk assessments are to be carried out as required after any changes in the premises or how the premises are used, otherwise reviewed annually.</w:t>
      </w:r>
    </w:p>
    <w:p>
      <w:pPr>
        <w:pStyle w:val="Normal"/>
        <w:numPr>
          <w:ilvl w:val="0"/>
          <w:numId w:val="1"/>
        </w:numPr>
        <w:spacing w:before="57" w:after="57"/>
        <w:ind w:hanging="420" w:left="420"/>
        <w:jc w:val="both"/>
        <w:rPr>
          <w:rFonts w:ascii="Arial" w:hAnsi="Arial"/>
        </w:rPr>
      </w:pPr>
      <w:r>
        <w:rPr>
          <w:rFonts w:ascii="Arial" w:hAnsi="Arial"/>
          <w:sz w:val="24"/>
          <w:szCs w:val="24"/>
          <w:lang w:val="en-GB"/>
        </w:rPr>
        <w:t>All contractors have the Board of Trustees permission to see existing Risk Assessments.</w:t>
      </w:r>
    </w:p>
    <w:p>
      <w:pPr>
        <w:pStyle w:val="Normal"/>
        <w:numPr>
          <w:ilvl w:val="0"/>
          <w:numId w:val="1"/>
        </w:numPr>
        <w:spacing w:before="57" w:after="57"/>
        <w:ind w:hanging="420" w:left="420"/>
        <w:jc w:val="both"/>
        <w:rPr>
          <w:rFonts w:ascii="Arial" w:hAnsi="Arial"/>
        </w:rPr>
      </w:pPr>
      <w:r>
        <w:rPr>
          <w:rFonts w:ascii="Arial" w:hAnsi="Arial"/>
          <w:sz w:val="24"/>
          <w:szCs w:val="24"/>
          <w:lang w:val="en-GB"/>
        </w:rPr>
        <w:t>As part of hiring agreements all user groups and hirers will have an induction procedure to the prem</w:t>
      </w:r>
      <w:r>
        <w:rPr>
          <w:rFonts w:ascii="Arial" w:hAnsi="Arial"/>
          <w:color w:val="000000"/>
          <w:sz w:val="24"/>
          <w:szCs w:val="24"/>
          <w:lang w:val="en-GB"/>
        </w:rPr>
        <w:t xml:space="preserve">ises </w:t>
      </w:r>
      <w:r>
        <w:rPr>
          <w:rFonts w:ascii="Arial" w:hAnsi="Arial"/>
          <w:color w:val="000000"/>
          <w:sz w:val="24"/>
          <w:szCs w:val="24"/>
          <w:lang w:val="en-GB"/>
        </w:rPr>
        <w:t>undertaken by the Centre Manager(s)</w:t>
      </w:r>
      <w:r>
        <w:rPr>
          <w:rFonts w:ascii="Arial" w:hAnsi="Arial"/>
          <w:color w:val="C9211E"/>
          <w:sz w:val="24"/>
          <w:szCs w:val="24"/>
          <w:lang w:val="en-GB"/>
        </w:rPr>
        <w:t xml:space="preserve"> </w:t>
      </w:r>
      <w:r>
        <w:rPr>
          <w:rFonts w:ascii="Arial" w:hAnsi="Arial"/>
          <w:sz w:val="24"/>
          <w:szCs w:val="24"/>
          <w:lang w:val="en-GB"/>
        </w:rPr>
        <w:t>and be issued with relevant information in regard to Health &amp; Safety.</w:t>
      </w:r>
    </w:p>
    <w:p>
      <w:pPr>
        <w:pStyle w:val="Normal"/>
        <w:spacing w:before="57" w:after="57"/>
        <w:ind w:left="420"/>
        <w:jc w:val="both"/>
        <w:rPr/>
      </w:pPr>
      <w:r>
        <w:rPr/>
      </w:r>
    </w:p>
    <w:p>
      <w:pPr>
        <w:pStyle w:val="Normal"/>
        <w:jc w:val="both"/>
        <w:rPr/>
      </w:pPr>
      <w:r>
        <w:rPr>
          <w:rFonts w:ascii="Arial" w:hAnsi="Arial"/>
          <w:b/>
          <w:bCs/>
          <w:sz w:val="24"/>
          <w:szCs w:val="24"/>
          <w:lang w:val="en-GB"/>
        </w:rPr>
        <w:t xml:space="preserve">Signed: </w:t>
      </w:r>
      <w:r>
        <w:rPr/>
        <w:drawing>
          <wp:inline distT="0" distB="0" distL="0" distR="0">
            <wp:extent cx="851535" cy="30861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851535" cy="308610"/>
                    </a:xfrm>
                    <a:prstGeom prst="rect">
                      <a:avLst/>
                    </a:prstGeom>
                    <a:noFill/>
                  </pic:spPr>
                </pic:pic>
              </a:graphicData>
            </a:graphic>
          </wp:inline>
        </w:drawing>
      </w:r>
    </w:p>
    <w:p>
      <w:pPr>
        <w:pStyle w:val="Normal"/>
        <w:spacing w:before="113" w:after="0"/>
        <w:jc w:val="both"/>
        <w:rPr/>
      </w:pPr>
      <w:r>
        <w:rPr>
          <w:rFonts w:ascii="Arial" w:hAnsi="Arial"/>
          <w:b/>
          <w:bCs/>
          <w:sz w:val="24"/>
          <w:szCs w:val="24"/>
          <w:lang w:val="en-GB"/>
        </w:rPr>
        <w:t xml:space="preserve">Secretary to the Board of Trustees: Peter Sykes </w:t>
        <w:tab/>
        <w:t>Date: 2</w:t>
      </w:r>
      <w:r>
        <w:rPr>
          <w:rFonts w:ascii="Arial" w:hAnsi="Arial"/>
          <w:b/>
          <w:bCs/>
          <w:sz w:val="24"/>
          <w:szCs w:val="24"/>
          <w:lang w:val="en-GB"/>
        </w:rPr>
        <w:t>9</w:t>
      </w:r>
      <w:r>
        <w:rPr>
          <w:rFonts w:ascii="Arial" w:hAnsi="Arial"/>
          <w:b/>
          <w:bCs/>
          <w:sz w:val="24"/>
          <w:szCs w:val="24"/>
          <w:lang w:val="en-GB"/>
        </w:rPr>
        <w:t>/01/2026</w:t>
        <w:tab/>
        <w:tab/>
        <w:t xml:space="preserve">             </w:t>
      </w:r>
    </w:p>
    <w:p>
      <w:pPr>
        <w:pStyle w:val="Normal"/>
        <w:spacing w:before="113" w:after="0"/>
        <w:jc w:val="both"/>
        <w:rPr>
          <w:rFonts w:ascii="Arial" w:hAnsi="Arial"/>
          <w:b/>
          <w:bCs/>
          <w:sz w:val="24"/>
          <w:szCs w:val="24"/>
          <w:lang w:val="en-GB"/>
        </w:rPr>
      </w:pPr>
      <w:r>
        <w:rPr>
          <w:rFonts w:ascii="Arial" w:hAnsi="Arial"/>
          <w:b/>
          <w:bCs/>
          <w:sz w:val="24"/>
          <w:szCs w:val="24"/>
          <w:lang w:val="en-GB"/>
        </w:rPr>
      </w:r>
    </w:p>
    <w:p>
      <w:pPr>
        <w:pStyle w:val="Normal"/>
        <w:jc w:val="both"/>
        <w:rPr>
          <w:rFonts w:ascii="Arial" w:hAnsi="Arial"/>
        </w:rPr>
      </w:pPr>
      <w:r>
        <w:rPr>
          <w:rFonts w:ascii="Arial" w:hAnsi="Arial"/>
          <w:b/>
          <w:bCs/>
          <w:sz w:val="24"/>
          <w:szCs w:val="24"/>
          <w:lang w:val="en-GB"/>
        </w:rPr>
        <w:t xml:space="preserve">Signed: </w:t>
      </w:r>
      <w:r>
        <w:rPr/>
        <w:drawing>
          <wp:inline distT="0" distB="0" distL="0" distR="0">
            <wp:extent cx="980440" cy="504825"/>
            <wp:effectExtent l="0" t="0" r="0" b="0"/>
            <wp:docPr id="3" name="Image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Copy 1" descr=""/>
                    <pic:cNvPicPr>
                      <a:picLocks noChangeAspect="1" noChangeArrowheads="1"/>
                    </pic:cNvPicPr>
                  </pic:nvPicPr>
                  <pic:blipFill>
                    <a:blip r:embed="rId3"/>
                    <a:stretch>
                      <a:fillRect/>
                    </a:stretch>
                  </pic:blipFill>
                  <pic:spPr bwMode="auto">
                    <a:xfrm>
                      <a:off x="0" y="0"/>
                      <a:ext cx="980440" cy="504825"/>
                    </a:xfrm>
                    <a:prstGeom prst="rect">
                      <a:avLst/>
                    </a:prstGeom>
                    <a:noFill/>
                  </pic:spPr>
                </pic:pic>
              </a:graphicData>
            </a:graphic>
          </wp:inline>
        </w:drawing>
      </w:r>
    </w:p>
    <w:p>
      <w:pPr>
        <w:pStyle w:val="Normal"/>
        <w:jc w:val="both"/>
        <w:rPr>
          <w:rFonts w:ascii="Arial" w:hAnsi="Arial"/>
        </w:rPr>
      </w:pPr>
      <w:r>
        <w:rPr>
          <w:rFonts w:ascii="Arial" w:hAnsi="Arial"/>
        </w:rPr>
      </w:r>
    </w:p>
    <w:p>
      <w:pPr>
        <w:pStyle w:val="Normal"/>
        <w:jc w:val="both"/>
        <w:rPr/>
      </w:pPr>
      <w:r>
        <w:rPr>
          <w:rFonts w:ascii="Arial" w:hAnsi="Arial"/>
          <w:b/>
          <w:bCs/>
          <w:sz w:val="24"/>
          <w:szCs w:val="24"/>
          <w:lang w:val="en-GB"/>
        </w:rPr>
        <w:t>Chair of the Board of Trustees:</w:t>
        <w:tab/>
        <w:t>Ken Gates. Date: 01/01/2026</w:t>
      </w:r>
    </w:p>
    <w:p>
      <w:pPr>
        <w:pStyle w:val="Normal"/>
        <w:jc w:val="both"/>
        <w:rPr>
          <w:rFonts w:ascii="Arial" w:hAnsi="Arial"/>
          <w:b/>
          <w:bCs/>
          <w:sz w:val="24"/>
          <w:szCs w:val="24"/>
          <w:lang w:val="en-GB"/>
        </w:rPr>
      </w:pPr>
      <w:r>
        <w:rPr>
          <w:rFonts w:ascii="Arial" w:hAnsi="Arial"/>
          <w:b/>
          <w:bCs/>
          <w:sz w:val="24"/>
          <w:szCs w:val="24"/>
          <w:lang w:val="en-GB"/>
        </w:rPr>
      </w:r>
    </w:p>
    <w:tbl>
      <w:tblPr>
        <w:tblStyle w:val="TableGrid"/>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76"/>
        <w:gridCol w:w="6178"/>
      </w:tblGrid>
      <w:tr>
        <w:trPr>
          <w:trHeight w:val="395" w:hRule="atLeast"/>
        </w:trPr>
        <w:tc>
          <w:tcPr>
            <w:tcW w:w="3176" w:type="dxa"/>
            <w:tcBorders/>
          </w:tcPr>
          <w:p>
            <w:pPr>
              <w:pStyle w:val="Normal"/>
              <w:widowControl w:val="false"/>
              <w:spacing w:before="57" w:after="0"/>
              <w:jc w:val="left"/>
              <w:textAlignment w:val="center"/>
              <w:rPr>
                <w:rFonts w:ascii="Calibri" w:hAnsi="Calibri" w:eastAsia="" w:cs=""/>
                <w:kern w:val="0"/>
                <w:sz w:val="20"/>
                <w:szCs w:val="20"/>
                <w:lang w:eastAsia="zh-CN"/>
              </w:rPr>
            </w:pPr>
            <w:r>
              <w:rPr>
                <w:rFonts w:eastAsia="" w:cs="" w:ascii="Arial" w:hAnsi="Arial"/>
                <w:b/>
                <w:bCs/>
                <w:kern w:val="0"/>
                <w:sz w:val="24"/>
                <w:szCs w:val="24"/>
                <w:lang w:val="en-GB" w:eastAsia="zh-CN"/>
              </w:rPr>
              <w:t>Health &amp; Safety Policy</w:t>
            </w:r>
          </w:p>
        </w:tc>
        <w:tc>
          <w:tcPr>
            <w:tcW w:w="6178" w:type="dxa"/>
            <w:tcBorders/>
          </w:tcPr>
          <w:p>
            <w:pPr>
              <w:pStyle w:val="Normal"/>
              <w:widowControl w:val="false"/>
              <w:spacing w:before="57" w:after="0"/>
              <w:jc w:val="both"/>
              <w:textAlignment w:val="center"/>
              <w:rPr>
                <w:rFonts w:ascii="Calibri" w:hAnsi="Calibri" w:eastAsia="" w:cs=""/>
                <w:kern w:val="0"/>
                <w:sz w:val="20"/>
                <w:szCs w:val="20"/>
                <w:lang w:eastAsia="zh-CN"/>
              </w:rPr>
            </w:pPr>
            <w:r>
              <w:rPr>
                <w:rFonts w:eastAsia="" w:cs="" w:ascii="Arial" w:hAnsi="Arial"/>
                <w:b/>
                <w:bCs/>
                <w:kern w:val="0"/>
                <w:sz w:val="20"/>
                <w:szCs w:val="20"/>
                <w:lang w:val="en-GB" w:eastAsia="zh-CN"/>
              </w:rPr>
              <w:t>Jan 2014 Ongoing Appendix No 2</w:t>
            </w:r>
          </w:p>
        </w:tc>
      </w:tr>
      <w:tr>
        <w:trPr>
          <w:trHeight w:val="341" w:hRule="atLeast"/>
        </w:trPr>
        <w:tc>
          <w:tcPr>
            <w:tcW w:w="3176" w:type="dxa"/>
            <w:tcBorders/>
          </w:tcPr>
          <w:p>
            <w:pPr>
              <w:pStyle w:val="Normal"/>
              <w:widowControl w:val="false"/>
              <w:spacing w:before="0" w:after="0"/>
              <w:jc w:val="both"/>
              <w:rPr>
                <w:rFonts w:ascii="Calibri" w:hAnsi="Calibri" w:eastAsia="" w:cs=""/>
                <w:kern w:val="0"/>
                <w:sz w:val="20"/>
                <w:szCs w:val="20"/>
                <w:lang w:eastAsia="zh-CN"/>
              </w:rPr>
            </w:pPr>
            <w:r>
              <w:rPr>
                <w:rFonts w:eastAsia="" w:cs="" w:ascii="Arial" w:hAnsi="Arial"/>
                <w:b/>
                <w:bCs/>
                <w:kern w:val="0"/>
                <w:sz w:val="24"/>
                <w:szCs w:val="24"/>
                <w:lang w:val="en-GB" w:eastAsia="zh-CN"/>
              </w:rPr>
              <w:t>Risk Assessment Policy</w:t>
            </w:r>
          </w:p>
        </w:tc>
        <w:tc>
          <w:tcPr>
            <w:tcW w:w="6178" w:type="dxa"/>
            <w:tcBorders/>
          </w:tcPr>
          <w:p>
            <w:pPr>
              <w:pStyle w:val="Normal"/>
              <w:widowControl w:val="false"/>
              <w:snapToGrid w:val="false"/>
              <w:spacing w:before="57" w:after="57"/>
              <w:jc w:val="both"/>
              <w:textAlignment w:val="baseline"/>
              <w:rPr>
                <w:rFonts w:ascii="Arial" w:hAnsi="Arial" w:eastAsia="SimSun"/>
                <w:lang w:val="en-GB"/>
              </w:rPr>
            </w:pPr>
            <w:r>
              <w:rPr>
                <w:rFonts w:eastAsia="SimSun" w:cs="" w:ascii="Arial" w:hAnsi="Arial"/>
                <w:kern w:val="0"/>
                <w:sz w:val="20"/>
                <w:szCs w:val="20"/>
                <w:lang w:val="en-GB" w:eastAsia="zh-CN"/>
              </w:rPr>
              <w:t>Revised December 2022</w:t>
            </w:r>
          </w:p>
        </w:tc>
      </w:tr>
      <w:tr>
        <w:trPr/>
        <w:tc>
          <w:tcPr>
            <w:tcW w:w="3176" w:type="dxa"/>
            <w:tcBorders>
              <w:top w:val="nil"/>
            </w:tcBorders>
          </w:tcPr>
          <w:p>
            <w:pPr>
              <w:pStyle w:val="Normal"/>
              <w:widowControl w:val="false"/>
              <w:spacing w:before="57" w:after="57"/>
              <w:jc w:val="both"/>
              <w:textAlignment w:val="baseline"/>
              <w:rPr>
                <w:rFonts w:ascii="Calibri" w:hAnsi="Calibri" w:eastAsia="" w:cs=""/>
                <w:kern w:val="0"/>
                <w:sz w:val="20"/>
                <w:szCs w:val="20"/>
                <w:lang w:eastAsia="zh-CN"/>
              </w:rPr>
            </w:pPr>
            <w:r>
              <w:rPr>
                <w:rFonts w:eastAsia="Times New Roman" w:cs="Arial" w:ascii="Arial" w:hAnsi="Arial"/>
                <w:b/>
                <w:bCs/>
                <w:kern w:val="0"/>
                <w:sz w:val="22"/>
                <w:szCs w:val="22"/>
                <w:lang w:val="en-GB" w:eastAsia="en-GB" w:bidi="en-GB"/>
              </w:rPr>
              <w:t>Reviewed:2</w:t>
            </w:r>
          </w:p>
        </w:tc>
        <w:tc>
          <w:tcPr>
            <w:tcW w:w="6178" w:type="dxa"/>
            <w:tcBorders>
              <w:top w:val="nil"/>
            </w:tcBorders>
          </w:tcPr>
          <w:p>
            <w:pPr>
              <w:pStyle w:val="Normal"/>
              <w:widowControl w:val="false"/>
              <w:snapToGrid w:val="false"/>
              <w:spacing w:before="57" w:after="57"/>
              <w:jc w:val="both"/>
              <w:textAlignment w:val="baseline"/>
              <w:rPr>
                <w:rFonts w:ascii="Calibri" w:hAnsi="Calibri" w:eastAsia="" w:cs=""/>
                <w:kern w:val="0"/>
                <w:sz w:val="20"/>
                <w:szCs w:val="20"/>
                <w:lang w:eastAsia="zh-CN"/>
              </w:rPr>
            </w:pPr>
            <w:r>
              <w:rPr>
                <w:rFonts w:eastAsia="SimSun" w:cs="" w:ascii="Arial" w:hAnsi="Arial"/>
                <w:kern w:val="0"/>
                <w:sz w:val="20"/>
                <w:szCs w:val="20"/>
                <w:lang w:val="en-GB" w:eastAsia="zh-CN"/>
              </w:rPr>
              <w:t>03/03/2023 by FMYCA H&amp;S and Policy subcommittee</w:t>
            </w:r>
          </w:p>
        </w:tc>
      </w:tr>
      <w:tr>
        <w:trPr/>
        <w:tc>
          <w:tcPr>
            <w:tcW w:w="3176" w:type="dxa"/>
            <w:tcBorders>
              <w:top w:val="nil"/>
              <w:bottom w:val="nil"/>
            </w:tcBorders>
          </w:tcPr>
          <w:p>
            <w:pPr>
              <w:pStyle w:val="Normal"/>
              <w:widowControl w:val="false"/>
              <w:spacing w:before="57" w:after="57"/>
              <w:jc w:val="both"/>
              <w:textAlignment w:val="baseline"/>
              <w:rPr>
                <w:rFonts w:ascii="Calibri" w:hAnsi="Calibri" w:eastAsia="" w:cs=""/>
                <w:kern w:val="0"/>
                <w:sz w:val="20"/>
                <w:szCs w:val="20"/>
                <w:lang w:eastAsia="zh-CN"/>
              </w:rPr>
            </w:pPr>
            <w:r>
              <w:rPr>
                <w:rFonts w:eastAsia="Times New Roman" w:cs="Arial" w:ascii="Arial" w:hAnsi="Arial"/>
                <w:b/>
                <w:bCs/>
                <w:kern w:val="0"/>
                <w:sz w:val="22"/>
                <w:szCs w:val="22"/>
                <w:lang w:eastAsia="en-GB" w:bidi="en-GB"/>
              </w:rPr>
              <w:t>Reviewed:3</w:t>
            </w:r>
          </w:p>
        </w:tc>
        <w:tc>
          <w:tcPr>
            <w:tcW w:w="6178" w:type="dxa"/>
            <w:tcBorders>
              <w:top w:val="nil"/>
              <w:bottom w:val="nil"/>
            </w:tcBorders>
          </w:tcPr>
          <w:p>
            <w:pPr>
              <w:pStyle w:val="Normal"/>
              <w:widowControl w:val="false"/>
              <w:overflowPunct w:val="false"/>
              <w:snapToGrid w:val="false"/>
              <w:spacing w:before="57" w:after="57"/>
              <w:jc w:val="both"/>
              <w:textAlignment w:val="baseline"/>
              <w:rPr>
                <w:rFonts w:ascii="Calibri" w:hAnsi="Calibri" w:eastAsia="" w:cs=""/>
                <w:kern w:val="0"/>
                <w:sz w:val="20"/>
                <w:szCs w:val="20"/>
                <w:lang w:eastAsia="zh-CN"/>
              </w:rPr>
            </w:pPr>
            <w:r>
              <w:rPr>
                <w:rFonts w:eastAsia="Times New Roman" w:cs="Liberation Serif;Times New Roma" w:ascii="Arial" w:hAnsi="Arial"/>
                <w:kern w:val="0"/>
                <w:sz w:val="20"/>
                <w:szCs w:val="20"/>
                <w:lang w:eastAsia="en-GB" w:bidi="en-GB"/>
              </w:rPr>
              <w:t>01/01/202</w:t>
            </w:r>
            <w:r>
              <w:rPr>
                <w:rFonts w:eastAsia="Times New Roman" w:cs="Liberation Serif;Times New Roma" w:ascii="Arial" w:hAnsi="Arial"/>
                <w:kern w:val="0"/>
                <w:sz w:val="20"/>
                <w:szCs w:val="20"/>
                <w:lang w:eastAsia="en-GB" w:bidi="en-GB"/>
              </w:rPr>
              <w:t>4</w:t>
            </w:r>
            <w:r>
              <w:rPr>
                <w:rFonts w:eastAsia="Times New Roman" w:cs="Liberation Serif;Times New Roma" w:ascii="Arial" w:hAnsi="Arial"/>
                <w:kern w:val="0"/>
                <w:sz w:val="20"/>
                <w:szCs w:val="20"/>
                <w:lang w:eastAsia="en-GB" w:bidi="en-GB"/>
              </w:rPr>
              <w:t xml:space="preserve"> by Policy Subcommittee</w:t>
            </w:r>
          </w:p>
        </w:tc>
      </w:tr>
      <w:tr>
        <w:trPr/>
        <w:tc>
          <w:tcPr>
            <w:tcW w:w="3176" w:type="dxa"/>
            <w:tcBorders>
              <w:top w:val="nil"/>
              <w:bottom w:val="nil"/>
            </w:tcBorders>
          </w:tcPr>
          <w:p>
            <w:pPr>
              <w:pStyle w:val="Normal"/>
              <w:widowControl w:val="false"/>
              <w:spacing w:before="57" w:after="57"/>
              <w:jc w:val="both"/>
              <w:textAlignment w:val="baseline"/>
              <w:rPr>
                <w:rFonts w:ascii="Arial" w:hAnsi="Arial" w:eastAsia="Times New Roman" w:cs="Arial"/>
                <w:b/>
                <w:bCs/>
                <w:sz w:val="22"/>
                <w:szCs w:val="22"/>
                <w:lang w:eastAsia="en-GB" w:bidi="en-GB"/>
              </w:rPr>
            </w:pPr>
            <w:r>
              <w:rPr>
                <w:rFonts w:eastAsia="Times New Roman" w:cs="Arial" w:ascii="Arial" w:hAnsi="Arial"/>
                <w:b/>
                <w:bCs/>
                <w:sz w:val="22"/>
                <w:szCs w:val="22"/>
                <w:lang w:eastAsia="en-GB" w:bidi="en-GB"/>
              </w:rPr>
              <w:t>Reviewed:4</w:t>
            </w:r>
          </w:p>
        </w:tc>
        <w:tc>
          <w:tcPr>
            <w:tcW w:w="6178" w:type="dxa"/>
            <w:tcBorders>
              <w:top w:val="nil"/>
              <w:bottom w:val="nil"/>
            </w:tcBorders>
          </w:tcPr>
          <w:p>
            <w:pPr>
              <w:pStyle w:val="Normal"/>
              <w:widowControl w:val="false"/>
              <w:overflowPunct w:val="false"/>
              <w:snapToGrid w:val="false"/>
              <w:spacing w:before="57" w:after="57"/>
              <w:jc w:val="both"/>
              <w:textAlignment w:val="baseline"/>
              <w:rPr>
                <w:rFonts w:ascii="Calibri" w:hAnsi="Calibri" w:eastAsia="" w:cs=""/>
                <w:kern w:val="0"/>
                <w:sz w:val="20"/>
                <w:szCs w:val="20"/>
                <w:lang w:eastAsia="zh-CN"/>
              </w:rPr>
            </w:pPr>
            <w:r>
              <w:rPr>
                <w:rFonts w:eastAsia="Times New Roman" w:cs="Liberation Serif;Times New Roma" w:ascii="Arial" w:hAnsi="Arial"/>
                <w:lang w:eastAsia="en-GB" w:bidi="en-GB"/>
              </w:rPr>
              <w:t>21/01/2025 by Policy Subcommittee</w:t>
            </w:r>
          </w:p>
        </w:tc>
      </w:tr>
      <w:tr>
        <w:trPr/>
        <w:tc>
          <w:tcPr>
            <w:tcW w:w="3176" w:type="dxa"/>
            <w:tcBorders>
              <w:top w:val="nil"/>
            </w:tcBorders>
          </w:tcPr>
          <w:p>
            <w:pPr>
              <w:pStyle w:val="Normal"/>
              <w:widowControl w:val="false"/>
              <w:spacing w:before="57" w:after="57"/>
              <w:jc w:val="both"/>
              <w:textAlignment w:val="baseline"/>
              <w:rPr>
                <w:rFonts w:ascii="Arial" w:hAnsi="Arial" w:eastAsia="Times New Roman" w:cs="Arial"/>
                <w:b/>
                <w:bCs/>
                <w:sz w:val="22"/>
                <w:szCs w:val="22"/>
                <w:lang w:eastAsia="en-GB" w:bidi="en-GB"/>
              </w:rPr>
            </w:pPr>
            <w:r>
              <w:rPr>
                <w:rFonts w:eastAsia="Times New Roman" w:cs="Arial" w:ascii="Arial" w:hAnsi="Arial"/>
                <w:b/>
                <w:bCs/>
                <w:kern w:val="0"/>
                <w:sz w:val="22"/>
                <w:szCs w:val="22"/>
                <w:lang w:eastAsia="en-GB" w:bidi="en-GB"/>
              </w:rPr>
              <w:t>Reviewed:5</w:t>
            </w:r>
          </w:p>
        </w:tc>
        <w:tc>
          <w:tcPr>
            <w:tcW w:w="6178" w:type="dxa"/>
            <w:tcBorders>
              <w:top w:val="nil"/>
            </w:tcBorders>
          </w:tcPr>
          <w:p>
            <w:pPr>
              <w:pStyle w:val="Normal"/>
              <w:widowControl w:val="false"/>
              <w:overflowPunct w:val="false"/>
              <w:snapToGrid w:val="false"/>
              <w:spacing w:before="57" w:after="57"/>
              <w:jc w:val="both"/>
              <w:textAlignment w:val="baseline"/>
              <w:rPr>
                <w:rFonts w:ascii="Calibri" w:hAnsi="Calibri" w:eastAsia="" w:cs=""/>
                <w:kern w:val="0"/>
                <w:sz w:val="20"/>
                <w:szCs w:val="20"/>
                <w:lang w:eastAsia="zh-CN"/>
              </w:rPr>
            </w:pPr>
            <w:r>
              <w:rPr>
                <w:rFonts w:eastAsia="Times New Roman" w:cs="Liberation Serif;Times New Roma" w:ascii="Arial" w:hAnsi="Arial"/>
                <w:kern w:val="0"/>
                <w:sz w:val="20"/>
                <w:szCs w:val="20"/>
                <w:lang w:eastAsia="en-GB" w:bidi="en-GB"/>
              </w:rPr>
              <w:t>2</w:t>
            </w:r>
            <w:r>
              <w:rPr>
                <w:rFonts w:eastAsia="Times New Roman" w:cs="Liberation Serif;Times New Roma" w:ascii="Arial" w:hAnsi="Arial"/>
                <w:kern w:val="0"/>
                <w:sz w:val="20"/>
                <w:szCs w:val="20"/>
                <w:lang w:eastAsia="en-GB" w:bidi="en-GB"/>
              </w:rPr>
              <w:t>9</w:t>
            </w:r>
            <w:r>
              <w:rPr>
                <w:rFonts w:eastAsia="Times New Roman" w:cs="Liberation Serif;Times New Roma" w:ascii="Arial" w:hAnsi="Arial"/>
                <w:kern w:val="0"/>
                <w:sz w:val="20"/>
                <w:szCs w:val="20"/>
                <w:lang w:eastAsia="en-GB" w:bidi="en-GB"/>
              </w:rPr>
              <w:t>/01/202</w:t>
            </w:r>
            <w:r>
              <w:rPr>
                <w:rFonts w:eastAsia="Times New Roman" w:cs="Liberation Serif;Times New Roma" w:ascii="Arial" w:hAnsi="Arial"/>
                <w:kern w:val="0"/>
                <w:sz w:val="20"/>
                <w:szCs w:val="20"/>
                <w:lang w:eastAsia="en-GB" w:bidi="en-GB"/>
              </w:rPr>
              <w:t>6</w:t>
            </w:r>
            <w:r>
              <w:rPr>
                <w:rFonts w:eastAsia="Times New Roman" w:cs="Liberation Serif;Times New Roma" w:ascii="Arial" w:hAnsi="Arial"/>
                <w:kern w:val="0"/>
                <w:sz w:val="20"/>
                <w:szCs w:val="20"/>
                <w:lang w:eastAsia="en-GB" w:bidi="en-GB"/>
              </w:rPr>
              <w:t xml:space="preserve"> by Policy Subcommittee</w:t>
            </w:r>
          </w:p>
        </w:tc>
      </w:tr>
      <w:tr>
        <w:trPr/>
        <w:tc>
          <w:tcPr>
            <w:tcW w:w="3176" w:type="dxa"/>
            <w:tcBorders>
              <w:top w:val="nil"/>
            </w:tcBorders>
          </w:tcPr>
          <w:p>
            <w:pPr>
              <w:pStyle w:val="Normal"/>
              <w:widowControl w:val="false"/>
              <w:spacing w:before="57" w:after="57"/>
              <w:jc w:val="both"/>
              <w:textAlignment w:val="baseline"/>
              <w:rPr>
                <w:rFonts w:ascii="Arial" w:hAnsi="Arial" w:eastAsia="Times New Roman" w:cs="Arial"/>
                <w:b/>
                <w:bCs/>
                <w:sz w:val="22"/>
                <w:szCs w:val="22"/>
                <w:lang w:eastAsia="en-GB" w:bidi="en-GB"/>
              </w:rPr>
            </w:pPr>
            <w:r>
              <w:rPr>
                <w:rFonts w:eastAsia="Times New Roman" w:cs="Arial" w:ascii="Arial" w:hAnsi="Arial"/>
                <w:b/>
                <w:bCs/>
                <w:sz w:val="22"/>
                <w:szCs w:val="22"/>
                <w:lang w:eastAsia="en-GB" w:bidi="en-GB"/>
              </w:rPr>
            </w:r>
          </w:p>
        </w:tc>
        <w:tc>
          <w:tcPr>
            <w:tcW w:w="6178" w:type="dxa"/>
            <w:tcBorders>
              <w:top w:val="nil"/>
            </w:tcBorders>
          </w:tcPr>
          <w:p>
            <w:pPr>
              <w:pStyle w:val="Normal"/>
              <w:widowControl w:val="false"/>
              <w:overflowPunct w:val="false"/>
              <w:snapToGrid w:val="false"/>
              <w:spacing w:before="57" w:after="57"/>
              <w:jc w:val="both"/>
              <w:textAlignment w:val="baseline"/>
              <w:rPr>
                <w:rFonts w:ascii="Calibri" w:hAnsi="Calibri" w:eastAsia="" w:cs=""/>
                <w:kern w:val="0"/>
                <w:sz w:val="20"/>
                <w:szCs w:val="20"/>
                <w:lang w:eastAsia="zh-CN"/>
              </w:rPr>
            </w:pPr>
            <w:r>
              <w:rPr>
                <w:rFonts w:eastAsia="" w:cs=""/>
                <w:kern w:val="0"/>
                <w:sz w:val="20"/>
                <w:szCs w:val="20"/>
                <w:lang w:eastAsia="zh-CN"/>
              </w:rPr>
            </w:r>
          </w:p>
        </w:tc>
      </w:tr>
    </w:tbl>
    <w:p>
      <w:pPr>
        <w:pStyle w:val="Normal"/>
        <w:jc w:val="both"/>
        <w:rPr/>
      </w:pPr>
      <w:r>
        <w:rPr/>
        <mc:AlternateContent>
          <mc:Choice Requires="wps">
            <w:drawing>
              <wp:anchor behindDoc="0" distT="0" distB="0" distL="0" distR="0" simplePos="0" locked="0" layoutInCell="1" allowOverlap="1" relativeHeight="4" wp14:anchorId="742830C1">
                <wp:simplePos x="0" y="0"/>
                <wp:positionH relativeFrom="column">
                  <wp:posOffset>-894715</wp:posOffset>
                </wp:positionH>
                <wp:positionV relativeFrom="paragraph">
                  <wp:posOffset>1208405</wp:posOffset>
                </wp:positionV>
                <wp:extent cx="15240" cy="1270"/>
                <wp:effectExtent l="0" t="0" r="0" b="0"/>
                <wp:wrapNone/>
                <wp:docPr id="4" name="Image1"/>
                <a:graphic xmlns:a="http://schemas.openxmlformats.org/drawingml/2006/main">
                  <a:graphicData uri="http://schemas.openxmlformats.org/drawingml/2006/picture">
                    <pic:pic xmlns:pic="http://schemas.openxmlformats.org/drawingml/2006/picture">
                      <pic:nvPicPr>
                        <pic:cNvPr id="5" name="Image1" descr=""/>
                        <pic:cNvPicPr/>
                      </pic:nvPicPr>
                      <pic:blipFill>
                        <a:blip r:embed="rId4"/>
                        <a:stretch/>
                      </pic:blipFill>
                      <pic:spPr>
                        <a:xfrm flipH="1" rot="10800000">
                          <a:off x="0" y="0"/>
                          <a:ext cx="15120" cy="144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1" stroked="f" o:allowincell="f" style="position:absolute;margin-left:-70.5pt;margin-top:95.15pt;width:1.15pt;height:0.05pt;mso-wrap-style:none;v-text-anchor:middle;rotation:180" wp14:anchorId="742830C1" type="_x0000_t75">
                <v:imagedata r:id="rId5" o:detectmouseclick="t"/>
                <v:stroke color="#3465a4" joinstyle="round" endcap="flat"/>
                <w10:wrap type="none"/>
              </v:shape>
            </w:pict>
          </mc:Fallback>
        </mc:AlternateContent>
      </w:r>
    </w:p>
    <w:sectPr>
      <w:footerReference w:type="even" r:id="rId6"/>
      <w:footerReference w:type="default" r:id="rId7"/>
      <w:footerReference w:type="first" r:id="rId8"/>
      <w:type w:val="nextPage"/>
      <w:pgSz w:w="11906" w:h="16838"/>
      <w:pgMar w:left="1417" w:right="1134" w:gutter="0" w:header="0" w:top="1134" w:footer="1134" w:bottom="166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420"/>
  <w:autoHyphenation w:val="true"/>
  <w:hyphenationZone w:val="0"/>
  <w:compat>
    <w:doNotExpandShiftReturn/>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en-GB"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0"/>
      <w:szCs w:val="20"/>
      <w:lang w:val="en-US" w:eastAsia="zh-CN" w:bidi="ar-SA"/>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HeaderandFooter" w:customStyle="1">
    <w:name w:val="Header and Footer"/>
    <w:basedOn w:val="Normal"/>
    <w:qFormat/>
    <w:pPr>
      <w:suppressLineNumbers/>
      <w:tabs>
        <w:tab w:val="clear" w:pos="420"/>
        <w:tab w:val="center" w:pos="4822" w:leader="none"/>
        <w:tab w:val="right" w:pos="9645" w:leader="none"/>
      </w:tabs>
    </w:pPr>
    <w:rPr/>
  </w:style>
  <w:style w:type="paragraph" w:styleId="Footer">
    <w:name w:val="footer"/>
    <w:pPr>
      <w:widowControl/>
      <w:suppressLineNumbers/>
      <w:tabs>
        <w:tab w:val="clear" w:pos="420"/>
        <w:tab w:val="center" w:pos="4822" w:leader="none"/>
        <w:tab w:val="right" w:pos="9645" w:leader="none"/>
      </w:tabs>
      <w:suppressAutoHyphens w:val="true"/>
      <w:bidi w:val="0"/>
      <w:spacing w:before="0" w:after="0"/>
      <w:jc w:val="left"/>
    </w:pPr>
    <w:rPr>
      <w:rFonts w:ascii="Calibri" w:hAnsi="Calibri" w:eastAsia="" w:cs="" w:asciiTheme="minorHAnsi" w:cstheme="minorBidi" w:eastAsiaTheme="minorEastAsia" w:hAnsiTheme="minorHAnsi"/>
      <w:color w:val="auto"/>
      <w:kern w:val="0"/>
      <w:sz w:val="20"/>
      <w:szCs w:val="20"/>
      <w:lang w:val="en-GB"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Application>LibreOffice/25.2.7.2$Windows_X86_64 LibreOffice_project/5cbfd1ab6520636bb5f7b99185aa69bd7456825d</Application>
  <AppVersion>15.0000</AppVersion>
  <Pages>2</Pages>
  <Words>314</Words>
  <Characters>1618</Characters>
  <CharactersWithSpaces>1913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2021-12-02T14:52:00Z</dcterms:created>
  <dc:creator>George</dc:creator>
  <dc:description/>
  <dc:language>en-GB</dc:language>
  <cp:lastModifiedBy/>
  <cp:lastPrinted>2021-12-02T15:28:00Z</cp:lastPrinted>
  <dcterms:modified xsi:type="dcterms:W3CDTF">2026-01-29T19:49:50Z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6A6E007380684F20985DFDAA21821F61</vt:lpwstr>
  </property>
  <property fmtid="{D5CDD505-2E9C-101B-9397-08002B2CF9AE}" pid="3" name="KSOProductBuildVer">
    <vt:lpwstr>2057-11.2.0.11225</vt:lpwstr>
  </property>
  <property fmtid="{D5CDD505-2E9C-101B-9397-08002B2CF9AE}" pid="4" name="LinksUpToDate">
    <vt:bool>0</vt:bool>
  </property>
  <property fmtid="{D5CDD505-2E9C-101B-9397-08002B2CF9AE}" pid="5" name="ScaleCrop">
    <vt:bool>0</vt:bool>
  </property>
</Properties>
</file>