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pBdr>
          <w:top w:val="single" w:sz="4" w:space="1" w:color="000000"/>
          <w:left w:val="single" w:sz="4" w:space="4" w:color="000000"/>
          <w:bottom w:val="single" w:sz="4" w:space="1" w:color="000000"/>
          <w:right w:val="single" w:sz="4" w:space="4" w:color="000000"/>
        </w:pBdr>
        <w:overflowPunct w:val="false"/>
        <w:autoSpaceDE w:val="false"/>
        <w:spacing w:lineRule="auto" w:line="240" w:before="114" w:after="114"/>
        <w:jc w:val="center"/>
        <w:textAlignment w:val="baseline"/>
        <w:rPr/>
      </w:pPr>
      <w:r>
        <w:rPr>
          <w:rFonts w:eastAsia="Times New Roman" w:cs="Arial" w:ascii="Arial" w:hAnsi="Arial"/>
          <w:b/>
          <w:bCs/>
          <w:sz w:val="28"/>
          <w:szCs w:val="28"/>
        </w:rPr>
        <w:t xml:space="preserve">Framwellgate Moor Youth </w:t>
      </w:r>
      <w:r>
        <w:rPr>
          <w:rFonts w:eastAsia="Times New Roman" w:cs="Arial" w:ascii="Arial" w:hAnsi="Arial"/>
          <w:b/>
          <w:bCs/>
          <w:color w:val="auto"/>
          <w:sz w:val="28"/>
          <w:szCs w:val="28"/>
          <w:lang w:val="en-GB" w:bidi="ar-SA"/>
        </w:rPr>
        <w:t>&amp;</w:t>
      </w:r>
      <w:r>
        <w:rPr>
          <w:rFonts w:eastAsia="Times New Roman" w:cs="Arial" w:ascii="Arial" w:hAnsi="Arial"/>
          <w:b/>
          <w:bCs/>
          <w:sz w:val="28"/>
          <w:szCs w:val="28"/>
        </w:rPr>
        <w:t xml:space="preserve"> Community Association </w:t>
      </w:r>
    </w:p>
    <w:p>
      <w:pPr>
        <w:pStyle w:val="Normal"/>
        <w:widowControl w:val="false"/>
        <w:pBdr>
          <w:top w:val="single" w:sz="4" w:space="1" w:color="000000"/>
          <w:left w:val="single" w:sz="4" w:space="4" w:color="000000"/>
          <w:bottom w:val="single" w:sz="4" w:space="1" w:color="000000"/>
          <w:right w:val="single" w:sz="4" w:space="4" w:color="000000"/>
        </w:pBdr>
        <w:overflowPunct w:val="false"/>
        <w:autoSpaceDE w:val="false"/>
        <w:spacing w:lineRule="auto" w:line="240" w:before="57" w:after="57"/>
        <w:jc w:val="center"/>
        <w:textAlignment w:val="baseline"/>
        <w:rPr>
          <w:rFonts w:ascii="Arial" w:hAnsi="Arial" w:eastAsia="Times New Roman" w:cs="Arial"/>
          <w:sz w:val="28"/>
          <w:szCs w:val="20"/>
        </w:rPr>
      </w:pPr>
      <w:r>
        <w:rPr>
          <w:rFonts w:eastAsia="Times New Roman" w:cs="Arial" w:ascii="Arial" w:hAnsi="Arial"/>
          <w:sz w:val="28"/>
          <w:szCs w:val="20"/>
        </w:rPr>
        <w:t xml:space="preserve">Whistleblowing Policy </w:t>
      </w:r>
    </w:p>
    <w:p>
      <w:pPr>
        <w:pStyle w:val="Normal"/>
        <w:pBdr>
          <w:top w:val="single" w:sz="4" w:space="1" w:color="000000"/>
          <w:left w:val="single" w:sz="4" w:space="4" w:color="000000"/>
          <w:bottom w:val="single" w:sz="4" w:space="1" w:color="000000"/>
          <w:right w:val="single" w:sz="4" w:space="4" w:color="000000"/>
        </w:pBdr>
        <w:overflowPunct w:val="false"/>
        <w:autoSpaceDE w:val="false"/>
        <w:spacing w:lineRule="auto" w:line="240" w:before="57" w:after="57"/>
        <w:jc w:val="center"/>
        <w:textAlignment w:val="baseline"/>
        <w:rPr>
          <w:rFonts w:ascii="Arial" w:hAnsi="Arial" w:eastAsia="Times New Roman" w:cs="Arial"/>
          <w:sz w:val="28"/>
          <w:szCs w:val="20"/>
        </w:rPr>
      </w:pPr>
      <w:r>
        <w:rPr>
          <w:rFonts w:eastAsia="Times New Roman" w:cs="Arial" w:ascii="Arial" w:hAnsi="Arial"/>
          <w:sz w:val="28"/>
          <w:szCs w:val="20"/>
        </w:rPr>
        <w:t xml:space="preserve">August 2020 </w:t>
      </w:r>
    </w:p>
    <w:p>
      <w:pPr>
        <w:pStyle w:val="Normal"/>
        <w:overflowPunct w:val="false"/>
        <w:autoSpaceDE w:val="false"/>
        <w:spacing w:lineRule="auto" w:line="240" w:before="0" w:after="0"/>
        <w:jc w:val="center"/>
        <w:textAlignment w:val="baseline"/>
        <w:rPr>
          <w:rFonts w:ascii="Arial" w:hAnsi="Arial" w:eastAsia="Times New Roman" w:cs="Arial"/>
          <w:sz w:val="28"/>
          <w:szCs w:val="20"/>
        </w:rPr>
      </w:pPr>
      <w:r>
        <w:rPr>
          <w:rFonts w:eastAsia="Times New Roman" w:cs="Arial" w:ascii="Arial" w:hAnsi="Arial"/>
          <w:sz w:val="28"/>
          <w:szCs w:val="20"/>
        </w:rPr>
      </w:r>
    </w:p>
    <w:p>
      <w:pPr>
        <w:pStyle w:val="Normal"/>
        <w:overflowPunct w:val="false"/>
        <w:autoSpaceDE w:val="false"/>
        <w:spacing w:lineRule="auto" w:line="240" w:before="0" w:after="0"/>
        <w:jc w:val="center"/>
        <w:textAlignment w:val="baseline"/>
        <w:rPr>
          <w:rFonts w:ascii="Arial" w:hAnsi="Arial" w:eastAsia="Times New Roman" w:cs="Arial"/>
          <w:sz w:val="28"/>
          <w:szCs w:val="20"/>
        </w:rPr>
      </w:pPr>
      <w:r>
        <w:rPr>
          <w:rFonts w:eastAsia="Times New Roman" w:cs="Arial" w:ascii="Arial" w:hAnsi="Arial"/>
          <w:sz w:val="28"/>
          <w:szCs w:val="20"/>
        </w:rPr>
      </w:r>
    </w:p>
    <w:p>
      <w:pPr>
        <w:pStyle w:val="Normal"/>
        <w:keepNext w:val="true"/>
        <w:keepLines/>
        <w:numPr>
          <w:ilvl w:val="0"/>
          <w:numId w:val="3"/>
        </w:numPr>
        <w:overflowPunct w:val="false"/>
        <w:autoSpaceDE w:val="false"/>
        <w:spacing w:lineRule="auto" w:line="240" w:before="120" w:after="120"/>
        <w:ind w:left="709" w:right="0" w:hanging="709"/>
        <w:jc w:val="both"/>
        <w:textAlignment w:val="baseline"/>
        <w:rPr>
          <w:rFonts w:ascii="Arial" w:hAnsi="Arial" w:eastAsia="Times New Roman" w:cs="Arial"/>
          <w:b/>
          <w:b/>
          <w:bCs/>
          <w:szCs w:val="20"/>
        </w:rPr>
      </w:pPr>
      <w:r>
        <w:rPr>
          <w:rFonts w:eastAsia="Times New Roman" w:cs="Arial" w:ascii="Arial" w:hAnsi="Arial"/>
          <w:b/>
          <w:bCs/>
          <w:szCs w:val="20"/>
        </w:rPr>
        <w:t>Introduction</w:t>
      </w:r>
    </w:p>
    <w:p>
      <w:pPr>
        <w:pStyle w:val="Normal"/>
        <w:widowControl w:val="false"/>
        <w:numPr>
          <w:ilvl w:val="0"/>
          <w:numId w:val="0"/>
        </w:numPr>
        <w:tabs>
          <w:tab w:val="clear" w:pos="720"/>
          <w:tab w:val="left" w:pos="712" w:leader="none"/>
        </w:tabs>
        <w:overflowPunct w:val="false"/>
        <w:autoSpaceDE w:val="false"/>
        <w:spacing w:lineRule="auto" w:line="240" w:before="120" w:after="120"/>
        <w:ind w:left="709" w:right="0" w:hanging="0"/>
        <w:jc w:val="both"/>
        <w:textAlignment w:val="baseline"/>
        <w:rPr>
          <w:rFonts w:ascii="Arial" w:hAnsi="Arial" w:eastAsia="Times New Roman" w:cs="Arial"/>
          <w:szCs w:val="20"/>
        </w:rPr>
      </w:pPr>
      <w:r>
        <w:rPr>
          <w:rFonts w:eastAsia="Times New Roman" w:cs="Arial" w:ascii="Arial" w:hAnsi="Arial"/>
          <w:szCs w:val="20"/>
        </w:rPr>
        <w:t>Employees may, in properly carrying out their duties, have access to, or come into contact with, information of a confidential nature. Their terms and conditions provide that except in the proper performance of their duties, employees are forbidden from disclosing, or making use of in any form whatsoever, such confidential information.</w:t>
      </w:r>
    </w:p>
    <w:p>
      <w:pPr>
        <w:pStyle w:val="Normal"/>
        <w:widowControl w:val="false"/>
        <w:numPr>
          <w:ilvl w:val="0"/>
          <w:numId w:val="0"/>
        </w:numPr>
        <w:tabs>
          <w:tab w:val="clear" w:pos="720"/>
          <w:tab w:val="left" w:pos="712" w:leader="none"/>
        </w:tabs>
        <w:overflowPunct w:val="false"/>
        <w:autoSpaceDE w:val="false"/>
        <w:spacing w:lineRule="auto" w:line="240" w:before="120" w:after="120"/>
        <w:ind w:left="709" w:right="0" w:hanging="0"/>
        <w:jc w:val="both"/>
        <w:textAlignment w:val="baseline"/>
        <w:rPr>
          <w:rFonts w:ascii="Arial" w:hAnsi="Arial" w:eastAsia="Times New Roman" w:cs="Arial"/>
          <w:szCs w:val="20"/>
        </w:rPr>
      </w:pPr>
      <w:r>
        <w:rPr>
          <w:rFonts w:eastAsia="Times New Roman" w:cs="Arial" w:ascii="Arial" w:hAnsi="Arial"/>
          <w:szCs w:val="20"/>
        </w:rPr>
        <w:t>However, the law allows employees to make a ‘protected disclosure’ of certain information. In order to be ‘protected’, a disclosure must relate to a specific subject matter (clause 2) and the disclosure must also be made in an appropriate way (clause 3). Whistleblowing protection is confined to a disclosure which, in the reasonable belief of the employee making the disclosure, is made in the public interest.</w:t>
      </w:r>
    </w:p>
    <w:p>
      <w:pPr>
        <w:pStyle w:val="Normal"/>
        <w:widowControl w:val="false"/>
        <w:numPr>
          <w:ilvl w:val="0"/>
          <w:numId w:val="0"/>
        </w:numPr>
        <w:tabs>
          <w:tab w:val="clear" w:pos="720"/>
          <w:tab w:val="left" w:pos="712" w:leader="none"/>
        </w:tabs>
        <w:overflowPunct w:val="false"/>
        <w:autoSpaceDE w:val="false"/>
        <w:spacing w:lineRule="auto" w:line="240" w:before="0" w:after="120"/>
        <w:ind w:left="709" w:right="0" w:hanging="0"/>
        <w:jc w:val="both"/>
        <w:textAlignment w:val="baseline"/>
        <w:rPr/>
      </w:pPr>
      <w:r>
        <w:rPr>
          <w:rFonts w:eastAsia="Times New Roman" w:cs="Arial" w:ascii="Arial" w:hAnsi="Arial"/>
          <w:szCs w:val="20"/>
        </w:rPr>
        <w:t>Framwellgate Moor Youth and Community Association (“FMYCA”) is committed to compliance with the Bribery Act 2010. FMYCA actively encourages a culture of honesty and openness and therefore all employees are required to bring up to their manager or other designated person any issue that, in the employee’s opinion, might constitute bribery or corruption.</w:t>
      </w:r>
      <w:r>
        <w:rPr>
          <w:rFonts w:eastAsia="Times New Roman" w:cs="Arial" w:ascii="Arial" w:hAnsi="Arial"/>
          <w:b/>
          <w:szCs w:val="20"/>
        </w:rPr>
        <w:tab/>
        <w:tab/>
        <w:tab/>
        <w:tab/>
        <w:tab/>
        <w:tab/>
        <w:tab/>
        <w:tab/>
        <w:tab/>
        <w:tab/>
      </w:r>
    </w:p>
    <w:p>
      <w:pPr>
        <w:pStyle w:val="Normal"/>
        <w:keepNext w:val="true"/>
        <w:keepLines/>
        <w:numPr>
          <w:ilvl w:val="0"/>
          <w:numId w:val="3"/>
        </w:numPr>
        <w:overflowPunct w:val="false"/>
        <w:autoSpaceDE w:val="false"/>
        <w:spacing w:lineRule="auto" w:line="240" w:before="120" w:after="120"/>
        <w:ind w:left="709" w:right="0" w:hanging="706"/>
        <w:jc w:val="both"/>
        <w:textAlignment w:val="baseline"/>
        <w:rPr>
          <w:rFonts w:ascii="Arial" w:hAnsi="Arial" w:eastAsia="Times New Roman" w:cs="Arial"/>
          <w:b/>
          <w:b/>
          <w:bCs/>
          <w:szCs w:val="20"/>
        </w:rPr>
      </w:pPr>
      <w:r>
        <w:rPr>
          <w:rFonts w:eastAsia="Times New Roman" w:cs="Arial" w:ascii="Arial" w:hAnsi="Arial"/>
          <w:b/>
          <w:bCs/>
          <w:szCs w:val="20"/>
        </w:rPr>
        <w:t>Specific Subject Matter</w:t>
      </w:r>
    </w:p>
    <w:p>
      <w:pPr>
        <w:pStyle w:val="Normal"/>
        <w:widowControl w:val="false"/>
        <w:overflowPunct w:val="false"/>
        <w:autoSpaceDE w:val="false"/>
        <w:spacing w:lineRule="auto" w:line="240" w:before="120" w:after="120"/>
        <w:ind w:left="706" w:right="0" w:hanging="0"/>
        <w:jc w:val="both"/>
        <w:textAlignment w:val="baseline"/>
        <w:rPr>
          <w:rFonts w:ascii="Arial" w:hAnsi="Arial" w:eastAsia="Times New Roman" w:cs="Arial"/>
          <w:szCs w:val="20"/>
        </w:rPr>
      </w:pPr>
      <w:r>
        <w:rPr>
          <w:rFonts w:eastAsia="Times New Roman" w:cs="Arial" w:ascii="Arial" w:hAnsi="Arial"/>
          <w:szCs w:val="20"/>
        </w:rPr>
        <w:t xml:space="preserve">If, in the course of employment, an employee becomes aware of information which they reasonably believe tends to show one or more of the following: </w:t>
      </w:r>
    </w:p>
    <w:p>
      <w:pPr>
        <w:pStyle w:val="Normal"/>
        <w:widowControl w:val="false"/>
        <w:numPr>
          <w:ilvl w:val="0"/>
          <w:numId w:val="1"/>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That a criminal offence has been committed, is being committed or is likely to be committed.</w:t>
      </w:r>
    </w:p>
    <w:p>
      <w:pPr>
        <w:pStyle w:val="Normal"/>
        <w:widowControl w:val="false"/>
        <w:numPr>
          <w:ilvl w:val="0"/>
          <w:numId w:val="1"/>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That a person has failed, is failing or is likely to fail to comply with any legal obligation to which he is subject.</w:t>
      </w:r>
    </w:p>
    <w:p>
      <w:pPr>
        <w:pStyle w:val="Normal"/>
        <w:widowControl w:val="false"/>
        <w:numPr>
          <w:ilvl w:val="0"/>
          <w:numId w:val="1"/>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That a miscarriage of justice that has occurred, is occurring, or is likely to occur.</w:t>
      </w:r>
    </w:p>
    <w:p>
      <w:pPr>
        <w:pStyle w:val="Normal"/>
        <w:widowControl w:val="false"/>
        <w:numPr>
          <w:ilvl w:val="0"/>
          <w:numId w:val="1"/>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That the health or safety of any individual has been, is being, or is likely to be, endangered.</w:t>
      </w:r>
    </w:p>
    <w:p>
      <w:pPr>
        <w:pStyle w:val="Normal"/>
        <w:widowControl w:val="false"/>
        <w:numPr>
          <w:ilvl w:val="0"/>
          <w:numId w:val="1"/>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That the environment, has been, is being, or is likely to be, damaged.</w:t>
      </w:r>
    </w:p>
    <w:p>
      <w:pPr>
        <w:pStyle w:val="Normal"/>
        <w:widowControl w:val="false"/>
        <w:numPr>
          <w:ilvl w:val="0"/>
          <w:numId w:val="1"/>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That information tending to show any of the above, is being, or is likely to be, deliberately concealed.</w:t>
      </w:r>
    </w:p>
    <w:p>
      <w:pPr>
        <w:pStyle w:val="Normal"/>
        <w:widowControl w:val="false"/>
        <w:numPr>
          <w:ilvl w:val="0"/>
          <w:numId w:val="1"/>
        </w:numPr>
        <w:overflowPunct w:val="false"/>
        <w:autoSpaceDE w:val="false"/>
        <w:spacing w:lineRule="auto" w:line="240" w:before="120" w:after="120"/>
        <w:ind w:left="1432" w:right="0" w:hanging="723"/>
        <w:jc w:val="both"/>
        <w:textAlignment w:val="baseline"/>
        <w:rPr/>
      </w:pPr>
      <w:r>
        <w:rPr>
          <w:rFonts w:eastAsia="Times New Roman" w:cs="Arial" w:ascii="Arial" w:hAnsi="Arial"/>
          <w:szCs w:val="20"/>
        </w:rPr>
        <w:t xml:space="preserve">That the </w:t>
      </w:r>
      <w:r>
        <w:rPr>
          <w:rFonts w:eastAsia="Times New Roman" w:cs="Arial" w:ascii="Arial" w:hAnsi="Arial"/>
          <w:color w:val="auto"/>
          <w:sz w:val="22"/>
          <w:szCs w:val="20"/>
          <w:lang w:val="en-GB" w:eastAsia="zh-CN" w:bidi="ar-SA"/>
        </w:rPr>
        <w:t>Association</w:t>
      </w:r>
      <w:r>
        <w:rPr>
          <w:rFonts w:eastAsia="Times New Roman" w:cs="Arial" w:ascii="Arial" w:hAnsi="Arial"/>
          <w:szCs w:val="20"/>
        </w:rPr>
        <w:t xml:space="preserve"> or any associated person has been, is being, or is likely to be receiving or offering bribes.</w:t>
      </w:r>
    </w:p>
    <w:p>
      <w:pPr>
        <w:pStyle w:val="Normal"/>
        <w:widowControl w:val="false"/>
        <w:overflowPunct w:val="false"/>
        <w:autoSpaceDE w:val="false"/>
        <w:spacing w:lineRule="auto" w:line="240" w:before="240" w:after="0"/>
        <w:ind w:left="709" w:right="0" w:hanging="0"/>
        <w:jc w:val="both"/>
        <w:textAlignment w:val="baseline"/>
        <w:rPr>
          <w:rFonts w:ascii="Arial" w:hAnsi="Arial" w:eastAsia="Times New Roman" w:cs="Arial"/>
          <w:szCs w:val="20"/>
        </w:rPr>
      </w:pPr>
      <w:r>
        <w:rPr>
          <w:rFonts w:eastAsia="Times New Roman" w:cs="Arial" w:ascii="Arial" w:hAnsi="Arial"/>
          <w:szCs w:val="20"/>
        </w:rPr>
        <w:t>They must use FMYCA’s disclosure procedure as set out below.</w:t>
      </w:r>
    </w:p>
    <w:p>
      <w:pPr>
        <w:pStyle w:val="Normal"/>
        <w:widowControl w:val="false"/>
        <w:overflowPunct w:val="false"/>
        <w:autoSpaceDE w:val="false"/>
        <w:spacing w:lineRule="auto" w:line="240" w:before="0" w:after="120"/>
        <w:jc w:val="both"/>
        <w:textAlignment w:val="baseline"/>
        <w:rPr>
          <w:rFonts w:ascii="Arial" w:hAnsi="Arial" w:eastAsia="Times New Roman" w:cs="Arial"/>
          <w:szCs w:val="20"/>
        </w:rPr>
      </w:pPr>
      <w:r>
        <w:rPr>
          <w:rFonts w:eastAsia="Times New Roman" w:cs="Arial" w:ascii="Arial" w:hAnsi="Arial"/>
          <w:szCs w:val="20"/>
        </w:rPr>
      </w:r>
    </w:p>
    <w:p>
      <w:pPr>
        <w:pStyle w:val="Normal"/>
        <w:keepNext w:val="true"/>
        <w:keepLines/>
        <w:numPr>
          <w:ilvl w:val="0"/>
          <w:numId w:val="3"/>
        </w:numPr>
        <w:overflowPunct w:val="false"/>
        <w:autoSpaceDE w:val="false"/>
        <w:spacing w:lineRule="auto" w:line="240" w:before="120" w:after="120"/>
        <w:ind w:left="709" w:right="0" w:hanging="706"/>
        <w:jc w:val="both"/>
        <w:textAlignment w:val="baseline"/>
        <w:rPr>
          <w:rFonts w:ascii="Arial" w:hAnsi="Arial" w:eastAsia="Times New Roman" w:cs="Arial"/>
          <w:b/>
          <w:b/>
          <w:bCs/>
          <w:szCs w:val="20"/>
        </w:rPr>
      </w:pPr>
      <w:r>
        <w:rPr>
          <w:rFonts w:eastAsia="Times New Roman" w:cs="Arial" w:ascii="Arial" w:hAnsi="Arial"/>
          <w:b/>
          <w:bCs/>
          <w:szCs w:val="20"/>
        </w:rPr>
        <w:t>Disclosure Procedure</w:t>
      </w:r>
    </w:p>
    <w:p>
      <w:pPr>
        <w:pStyle w:val="Normal"/>
        <w:widowControl w:val="false"/>
        <w:numPr>
          <w:ilvl w:val="0"/>
          <w:numId w:val="2"/>
        </w:numPr>
        <w:overflowPunct w:val="false"/>
        <w:autoSpaceDE w:val="false"/>
        <w:spacing w:lineRule="auto" w:line="240" w:before="120" w:after="120"/>
        <w:ind w:left="1432" w:right="0" w:hanging="723"/>
        <w:jc w:val="both"/>
        <w:textAlignment w:val="baseline"/>
        <w:rPr/>
      </w:pPr>
      <w:r>
        <w:rPr>
          <w:rFonts w:eastAsia="Times New Roman" w:cs="Arial" w:ascii="Arial" w:hAnsi="Arial"/>
          <w:szCs w:val="20"/>
        </w:rPr>
        <w:t xml:space="preserve">Information which an employee reasonably believes tends to show one or more of the above should promptly be disclosed to </w:t>
      </w:r>
      <w:r>
        <w:rPr>
          <w:rFonts w:eastAsia="Times New Roman" w:cs="Arial" w:ascii="Arial" w:hAnsi="Arial"/>
          <w:b/>
          <w:bCs/>
          <w:szCs w:val="20"/>
        </w:rPr>
        <w:t>Secretary of the Trustees</w:t>
      </w:r>
      <w:r>
        <w:rPr>
          <w:rFonts w:eastAsia="Times New Roman" w:cs="Arial" w:ascii="Arial" w:hAnsi="Arial"/>
          <w:szCs w:val="20"/>
        </w:rPr>
        <w:t xml:space="preserve"> of FMYCA so that any appropriate action can be taken.</w:t>
      </w:r>
    </w:p>
    <w:p>
      <w:pPr>
        <w:pStyle w:val="Normal"/>
        <w:widowControl w:val="false"/>
        <w:numPr>
          <w:ilvl w:val="0"/>
          <w:numId w:val="2"/>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If it is inappropriate to make such a disclosure to Secretary of the Trustees of  FMYCA, the employee should speak to a Trustee who is not a member of the Executive Committee.</w:t>
      </w:r>
    </w:p>
    <w:p>
      <w:pPr>
        <w:pStyle w:val="Normal"/>
        <w:widowControl w:val="false"/>
        <w:numPr>
          <w:ilvl w:val="0"/>
          <w:numId w:val="2"/>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Employees will suffer no detriment of any sort for making such a disclosure in accordance with this procedure.</w:t>
      </w:r>
    </w:p>
    <w:p>
      <w:pPr>
        <w:pStyle w:val="Normal"/>
        <w:widowControl w:val="false"/>
        <w:numPr>
          <w:ilvl w:val="0"/>
          <w:numId w:val="2"/>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 xml:space="preserve">However, failure to follow this procedure may result in the disclosure of information losing its ‘protected status.’ </w:t>
      </w:r>
    </w:p>
    <w:p>
      <w:pPr>
        <w:pStyle w:val="Normal"/>
        <w:widowControl w:val="false"/>
        <w:numPr>
          <w:ilvl w:val="0"/>
          <w:numId w:val="2"/>
        </w:numPr>
        <w:overflowPunct w:val="false"/>
        <w:autoSpaceDE w:val="false"/>
        <w:spacing w:lineRule="auto" w:line="240" w:before="120" w:after="120"/>
        <w:ind w:left="1432" w:right="0" w:hanging="723"/>
        <w:jc w:val="both"/>
        <w:textAlignment w:val="baseline"/>
        <w:rPr>
          <w:rFonts w:ascii="Arial" w:hAnsi="Arial" w:eastAsia="Times New Roman" w:cs="Arial"/>
          <w:szCs w:val="20"/>
        </w:rPr>
      </w:pPr>
      <w:r>
        <w:rPr>
          <w:rFonts w:eastAsia="Times New Roman" w:cs="Arial" w:ascii="Arial" w:hAnsi="Arial"/>
          <w:szCs w:val="20"/>
        </w:rPr>
        <w:t>For further guidance in relation to this matter or concerning the use of the disclosure procedure generally, employees should speak in confidence to the Secretary to the Trustees of FMYCA..</w:t>
      </w:r>
    </w:p>
    <w:p>
      <w:pPr>
        <w:pStyle w:val="Normal"/>
        <w:overflowPunct w:val="false"/>
        <w:autoSpaceDE w:val="false"/>
        <w:spacing w:lineRule="auto" w:line="240" w:before="0" w:after="0"/>
        <w:ind w:left="720" w:right="0" w:hanging="0"/>
        <w:jc w:val="both"/>
        <w:textAlignment w:val="baseline"/>
        <w:rPr>
          <w:rFonts w:ascii="Arial" w:hAnsi="Arial" w:eastAsia="Times New Roman" w:cs="Arial"/>
          <w:szCs w:val="20"/>
        </w:rPr>
      </w:pPr>
      <w:r>
        <w:rPr>
          <w:rFonts w:eastAsia="Times New Roman" w:cs="Arial" w:ascii="Arial" w:hAnsi="Arial"/>
          <w:szCs w:val="20"/>
        </w:rPr>
      </w:r>
    </w:p>
    <w:p>
      <w:pPr>
        <w:pStyle w:val="Normal"/>
        <w:overflowPunct w:val="false"/>
        <w:autoSpaceDE w:val="false"/>
        <w:spacing w:lineRule="auto" w:line="240" w:before="0" w:after="0"/>
        <w:ind w:left="0" w:right="0" w:hanging="0"/>
        <w:jc w:val="both"/>
        <w:textAlignment w:val="baseline"/>
        <w:rPr>
          <w:rFonts w:ascii="Arial" w:hAnsi="Arial" w:eastAsia="Times New Roman" w:cs="Arial"/>
          <w:szCs w:val="20"/>
        </w:rPr>
      </w:pPr>
      <w:r>
        <w:rPr>
          <w:rFonts w:eastAsia="Times New Roman" w:cs="Arial" w:ascii="Arial" w:hAnsi="Arial"/>
          <w:szCs w:val="20"/>
        </w:rPr>
      </w:r>
    </w:p>
    <w:p>
      <w:pPr>
        <w:pStyle w:val="Normal"/>
        <w:widowControl w:val="false"/>
        <w:overflowPunct w:val="false"/>
        <w:autoSpaceDE w:val="false"/>
        <w:spacing w:lineRule="auto" w:line="240" w:before="0" w:after="0"/>
        <w:jc w:val="both"/>
        <w:textAlignment w:val="baseline"/>
        <w:rPr>
          <w:rFonts w:ascii="Arial" w:hAnsi="Arial" w:eastAsia="Times New Roman" w:cs="Arial"/>
          <w:szCs w:val="20"/>
        </w:rPr>
      </w:pPr>
      <w:r>
        <w:rPr>
          <w:rFonts w:eastAsia="Times New Roman" w:cs="Arial" w:ascii="Arial" w:hAnsi="Arial"/>
          <w:szCs w:val="20"/>
        </w:rPr>
      </w:r>
    </w:p>
    <w:p>
      <w:pPr>
        <w:pStyle w:val="Normal"/>
        <w:widowControl w:val="false"/>
        <w:overflowPunct w:val="false"/>
        <w:autoSpaceDE w:val="false"/>
        <w:spacing w:lineRule="auto" w:line="240" w:before="0" w:after="0"/>
        <w:jc w:val="both"/>
        <w:textAlignment w:val="baseline"/>
        <w:rPr>
          <w:rFonts w:ascii="Arial" w:hAnsi="Arial" w:eastAsia="Times New Roman" w:cs="Arial"/>
          <w:b/>
          <w:b/>
        </w:rPr>
      </w:pPr>
      <w:r>
        <w:rPr>
          <w:rFonts w:eastAsia="Times New Roman" w:cs="Arial" w:ascii="Arial" w:hAnsi="Arial"/>
          <w:b/>
        </w:rPr>
        <w:t>This policy has been approved &amp; authorised by:</w:t>
      </w:r>
    </w:p>
    <w:p>
      <w:pPr>
        <w:pStyle w:val="Normal"/>
        <w:widowControl w:val="false"/>
        <w:overflowPunct w:val="false"/>
        <w:autoSpaceDE w:val="false"/>
        <w:spacing w:lineRule="auto" w:line="240" w:before="0" w:after="0"/>
        <w:jc w:val="both"/>
        <w:textAlignment w:val="baseline"/>
        <w:rPr>
          <w:rFonts w:ascii="Arial" w:hAnsi="Arial" w:eastAsia="Times New Roman" w:cs="Arial"/>
          <w:b/>
          <w:b/>
        </w:rPr>
      </w:pPr>
      <w:r>
        <w:rPr>
          <w:rFonts w:eastAsia="Times New Roman" w:cs="Arial" w:ascii="Arial" w:hAnsi="Arial"/>
          <w:b/>
        </w:rPr>
      </w:r>
    </w:p>
    <w:tbl>
      <w:tblPr>
        <w:tblW w:w="9287" w:type="dxa"/>
        <w:jc w:val="left"/>
        <w:tblInd w:w="-109" w:type="dxa"/>
        <w:tblLayout w:type="fixed"/>
        <w:tblCellMar>
          <w:top w:w="0" w:type="dxa"/>
          <w:left w:w="108" w:type="dxa"/>
          <w:bottom w:w="0" w:type="dxa"/>
          <w:right w:w="108" w:type="dxa"/>
        </w:tblCellMar>
      </w:tblPr>
      <w:tblGrid>
        <w:gridCol w:w="2518"/>
        <w:gridCol w:w="6769"/>
      </w:tblGrid>
      <w:tr>
        <w:trPr/>
        <w:tc>
          <w:tcPr>
            <w:tcW w:w="2518" w:type="dxa"/>
            <w:tcBorders>
              <w:top w:val="single" w:sz="2" w:space="0" w:color="000000"/>
              <w:left w:val="single" w:sz="2" w:space="0" w:color="000000"/>
              <w:bottom w:val="single" w:sz="2" w:space="0" w:color="000000"/>
            </w:tcBorders>
          </w:tcPr>
          <w:p>
            <w:pPr>
              <w:pStyle w:val="Normal"/>
              <w:widowControl w:val="false"/>
              <w:numPr>
                <w:ilvl w:val="0"/>
                <w:numId w:val="0"/>
              </w:numPr>
              <w:spacing w:lineRule="auto" w:line="288" w:before="180" w:after="0"/>
              <w:ind w:left="0" w:right="0" w:hanging="0"/>
              <w:jc w:val="both"/>
              <w:rPr>
                <w:rFonts w:ascii="Arial" w:hAnsi="Arial" w:eastAsia="Times New Roman" w:cs="Arial"/>
                <w:b/>
                <w:b/>
                <w:bCs/>
                <w:color w:val="000000"/>
              </w:rPr>
            </w:pPr>
            <w:r>
              <w:rPr>
                <w:rFonts w:eastAsia="Times New Roman" w:cs="Arial" w:ascii="Arial" w:hAnsi="Arial"/>
                <w:b/>
                <w:bCs/>
                <w:color w:val="000000"/>
              </w:rPr>
              <w:t>Name:</w:t>
            </w:r>
          </w:p>
        </w:tc>
        <w:tc>
          <w:tcPr>
            <w:tcW w:w="6769"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numPr>
                <w:ilvl w:val="0"/>
                <w:numId w:val="0"/>
              </w:numPr>
              <w:spacing w:lineRule="auto" w:line="288" w:before="180" w:after="0"/>
              <w:ind w:left="0" w:right="0" w:hanging="0"/>
              <w:jc w:val="both"/>
              <w:rPr>
                <w:rFonts w:ascii="Arial" w:hAnsi="Arial" w:eastAsia="Times New Roman" w:cs="Arial"/>
                <w:bCs/>
                <w:color w:val="000000"/>
                <w:sz w:val="22"/>
                <w:szCs w:val="22"/>
                <w:lang w:val="en-GB" w:eastAsia="en-GB" w:bidi="ar-SA"/>
              </w:rPr>
            </w:pPr>
            <w:r>
              <w:rPr>
                <w:rFonts w:eastAsia="Times New Roman" w:cs="Arial" w:ascii="Arial" w:hAnsi="Arial"/>
                <w:bCs/>
                <w:color w:val="000000"/>
                <w:sz w:val="22"/>
                <w:szCs w:val="22"/>
                <w:lang w:val="en-GB" w:eastAsia="en-GB" w:bidi="ar-SA"/>
              </w:rPr>
              <w:t>Peter Sykes</w:t>
            </w:r>
          </w:p>
        </w:tc>
      </w:tr>
      <w:tr>
        <w:trPr/>
        <w:tc>
          <w:tcPr>
            <w:tcW w:w="2518" w:type="dxa"/>
            <w:tcBorders>
              <w:left w:val="single" w:sz="2" w:space="0" w:color="000000"/>
              <w:bottom w:val="single" w:sz="2" w:space="0" w:color="000000"/>
            </w:tcBorders>
          </w:tcPr>
          <w:p>
            <w:pPr>
              <w:pStyle w:val="Normal"/>
              <w:widowControl w:val="false"/>
              <w:numPr>
                <w:ilvl w:val="0"/>
                <w:numId w:val="0"/>
              </w:numPr>
              <w:spacing w:lineRule="auto" w:line="288" w:before="180" w:after="0"/>
              <w:ind w:left="0" w:right="0" w:hanging="0"/>
              <w:jc w:val="both"/>
              <w:rPr>
                <w:rFonts w:ascii="Arial" w:hAnsi="Arial" w:eastAsia="Times New Roman" w:cs="Arial"/>
                <w:b/>
                <w:b/>
                <w:bCs/>
                <w:color w:val="000000"/>
              </w:rPr>
            </w:pPr>
            <w:r>
              <w:rPr>
                <w:rFonts w:eastAsia="Times New Roman" w:cs="Arial" w:ascii="Arial" w:hAnsi="Arial"/>
                <w:b/>
                <w:bCs/>
                <w:color w:val="000000"/>
              </w:rPr>
              <w:t>Position:</w:t>
            </w:r>
          </w:p>
        </w:tc>
        <w:tc>
          <w:tcPr>
            <w:tcW w:w="6769" w:type="dxa"/>
            <w:tcBorders>
              <w:left w:val="single" w:sz="2" w:space="0" w:color="000000"/>
              <w:bottom w:val="single" w:sz="2" w:space="0" w:color="000000"/>
              <w:right w:val="single" w:sz="2" w:space="0" w:color="000000"/>
            </w:tcBorders>
            <w:vAlign w:val="bottom"/>
          </w:tcPr>
          <w:p>
            <w:pPr>
              <w:pStyle w:val="Normal"/>
              <w:widowControl w:val="false"/>
              <w:numPr>
                <w:ilvl w:val="0"/>
                <w:numId w:val="0"/>
              </w:numPr>
              <w:spacing w:lineRule="auto" w:line="288" w:before="180" w:after="0"/>
              <w:ind w:left="0" w:right="0" w:hanging="0"/>
              <w:jc w:val="both"/>
              <w:rPr/>
            </w:pPr>
            <w:r>
              <w:rPr>
                <w:rFonts w:eastAsia="Times New Roman" w:cs="Arial" w:ascii="Arial" w:hAnsi="Arial"/>
                <w:bCs/>
                <w:color w:val="000000"/>
                <w:lang w:val="en-GB" w:eastAsia="en-GB"/>
              </w:rPr>
              <w:t>Secr</w:t>
            </w:r>
            <w:r>
              <w:rPr>
                <w:rFonts w:eastAsia="Times New Roman" w:cs="Arial" w:ascii="Arial" w:hAnsi="Arial"/>
                <w:bCs/>
                <w:color w:val="000000"/>
                <w:sz w:val="22"/>
                <w:szCs w:val="22"/>
                <w:lang w:val="en-GB" w:eastAsia="en-GB" w:bidi="ar-SA"/>
              </w:rPr>
              <w:t>etary to FMYCA Trustees</w:t>
            </w:r>
          </w:p>
        </w:tc>
      </w:tr>
      <w:tr>
        <w:trPr/>
        <w:tc>
          <w:tcPr>
            <w:tcW w:w="2518" w:type="dxa"/>
            <w:tcBorders>
              <w:left w:val="single" w:sz="2" w:space="0" w:color="000000"/>
              <w:bottom w:val="single" w:sz="2" w:space="0" w:color="000000"/>
            </w:tcBorders>
          </w:tcPr>
          <w:p>
            <w:pPr>
              <w:pStyle w:val="Normal"/>
              <w:widowControl w:val="false"/>
              <w:numPr>
                <w:ilvl w:val="0"/>
                <w:numId w:val="0"/>
              </w:numPr>
              <w:spacing w:lineRule="auto" w:line="288" w:before="180" w:after="0"/>
              <w:ind w:left="0" w:right="0" w:hanging="0"/>
              <w:jc w:val="both"/>
              <w:rPr>
                <w:rFonts w:ascii="Arial" w:hAnsi="Arial" w:eastAsia="Times New Roman" w:cs="Arial"/>
                <w:b/>
                <w:b/>
                <w:bCs/>
                <w:color w:val="000000"/>
              </w:rPr>
            </w:pPr>
            <w:r>
              <w:rPr>
                <w:rFonts w:eastAsia="Times New Roman" w:cs="Arial" w:ascii="Arial" w:hAnsi="Arial"/>
                <w:b/>
                <w:bCs/>
                <w:color w:val="000000"/>
              </w:rPr>
              <w:t>Date:</w:t>
            </w:r>
          </w:p>
        </w:tc>
        <w:tc>
          <w:tcPr>
            <w:tcW w:w="6769" w:type="dxa"/>
            <w:tcBorders>
              <w:left w:val="single" w:sz="2" w:space="0" w:color="000000"/>
              <w:bottom w:val="single" w:sz="2" w:space="0" w:color="000000"/>
              <w:right w:val="single" w:sz="2" w:space="0" w:color="000000"/>
            </w:tcBorders>
            <w:vAlign w:val="bottom"/>
          </w:tcPr>
          <w:p>
            <w:pPr>
              <w:pStyle w:val="Normal"/>
              <w:widowControl w:val="false"/>
              <w:numPr>
                <w:ilvl w:val="0"/>
                <w:numId w:val="0"/>
              </w:numPr>
              <w:spacing w:lineRule="auto" w:line="288" w:before="180" w:after="0"/>
              <w:ind w:left="0" w:right="0" w:hanging="0"/>
              <w:jc w:val="both"/>
              <w:rPr>
                <w:rFonts w:ascii="Arial" w:hAnsi="Arial" w:eastAsia="Times New Roman" w:cs="Arial"/>
                <w:bCs/>
                <w:color w:val="000000"/>
                <w:sz w:val="22"/>
                <w:szCs w:val="22"/>
                <w:lang w:val="en-GB" w:eastAsia="en-GB" w:bidi="ar-SA"/>
              </w:rPr>
            </w:pPr>
            <w:r>
              <w:rPr>
                <w:rFonts w:eastAsia="Times New Roman" w:cs="Arial" w:ascii="Arial" w:hAnsi="Arial"/>
                <w:bCs/>
                <w:color w:val="000000"/>
                <w:sz w:val="22"/>
                <w:szCs w:val="22"/>
                <w:lang w:val="en-GB" w:eastAsia="en-GB" w:bidi="ar-SA"/>
              </w:rPr>
              <w:t>13/08/2020</w:t>
            </w:r>
          </w:p>
        </w:tc>
      </w:tr>
      <w:tr>
        <w:trPr>
          <w:trHeight w:val="284" w:hRule="atLeast"/>
        </w:trPr>
        <w:tc>
          <w:tcPr>
            <w:tcW w:w="2518" w:type="dxa"/>
            <w:tcBorders>
              <w:left w:val="single" w:sz="2" w:space="0" w:color="000000"/>
              <w:bottom w:val="single" w:sz="2" w:space="0" w:color="000000"/>
            </w:tcBorders>
          </w:tcPr>
          <w:p>
            <w:pPr>
              <w:pStyle w:val="Normal"/>
              <w:widowControl w:val="false"/>
              <w:numPr>
                <w:ilvl w:val="0"/>
                <w:numId w:val="0"/>
              </w:numPr>
              <w:spacing w:lineRule="auto" w:line="288" w:before="180" w:after="0"/>
              <w:ind w:left="0" w:right="0" w:hanging="0"/>
              <w:jc w:val="both"/>
              <w:rPr>
                <w:rFonts w:ascii="Arial" w:hAnsi="Arial" w:eastAsia="Times New Roman" w:cs="Arial"/>
                <w:b/>
                <w:b/>
                <w:bCs/>
                <w:color w:val="000000"/>
              </w:rPr>
            </w:pPr>
            <w:r>
              <w:rPr>
                <w:rFonts w:eastAsia="Times New Roman" w:cs="Arial" w:ascii="Arial" w:hAnsi="Arial"/>
                <w:b/>
                <w:bCs/>
                <w:color w:val="000000"/>
              </w:rPr>
              <w:t>Signature:</w:t>
            </w:r>
          </w:p>
          <w:p>
            <w:pPr>
              <w:pStyle w:val="Normal"/>
              <w:widowControl w:val="false"/>
              <w:numPr>
                <w:ilvl w:val="0"/>
                <w:numId w:val="0"/>
              </w:numPr>
              <w:spacing w:lineRule="auto" w:line="288" w:before="180" w:after="0"/>
              <w:ind w:left="0" w:right="0" w:hanging="0"/>
              <w:jc w:val="both"/>
              <w:rPr>
                <w:rFonts w:ascii="Arial" w:hAnsi="Arial" w:eastAsia="Times New Roman" w:cs="Arial"/>
                <w:b/>
                <w:b/>
                <w:bCs/>
                <w:color w:val="000000"/>
              </w:rPr>
            </w:pPr>
            <w:r>
              <w:rPr>
                <w:rFonts w:eastAsia="Times New Roman" w:cs="Arial" w:ascii="Arial" w:hAnsi="Arial"/>
                <w:b/>
                <w:bCs/>
                <w:color w:val="000000"/>
              </w:rPr>
            </w:r>
          </w:p>
        </w:tc>
        <w:tc>
          <w:tcPr>
            <w:tcW w:w="6769" w:type="dxa"/>
            <w:tcBorders>
              <w:left w:val="single" w:sz="2" w:space="0" w:color="000000"/>
              <w:bottom w:val="single" w:sz="2" w:space="0" w:color="000000"/>
              <w:right w:val="single" w:sz="2" w:space="0" w:color="000000"/>
            </w:tcBorders>
          </w:tcPr>
          <w:p>
            <w:pPr>
              <w:pStyle w:val="Normal"/>
              <w:widowControl w:val="false"/>
              <w:numPr>
                <w:ilvl w:val="0"/>
                <w:numId w:val="0"/>
              </w:numPr>
              <w:snapToGrid w:val="false"/>
              <w:spacing w:lineRule="auto" w:line="288" w:before="180" w:after="0"/>
              <w:ind w:left="0" w:right="0" w:hanging="0"/>
              <w:jc w:val="both"/>
              <w:rPr>
                <w:rFonts w:ascii="Arial" w:hAnsi="Arial" w:eastAsia="Times New Roman" w:cs="Arial"/>
                <w:b/>
                <w:b/>
                <w:bCs/>
                <w:color w:val="000000"/>
              </w:rPr>
            </w:pPr>
            <w:r>
              <w:rPr>
                <w:rFonts w:eastAsia="Times New Roman" w:cs="Arial" w:ascii="Arial" w:hAnsi="Arial"/>
                <w:b/>
                <w:bCs/>
                <w:color w:val="000000"/>
              </w:rPr>
              <w:drawing>
                <wp:anchor behindDoc="0" distT="0" distB="0" distL="0" distR="0" simplePos="0" locked="0" layoutInCell="1" allowOverlap="1" relativeHeight="2">
                  <wp:simplePos x="0" y="0"/>
                  <wp:positionH relativeFrom="column">
                    <wp:posOffset>78105</wp:posOffset>
                  </wp:positionH>
                  <wp:positionV relativeFrom="paragraph">
                    <wp:posOffset>133350</wp:posOffset>
                  </wp:positionV>
                  <wp:extent cx="1409065" cy="4343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81" t="-776" r="-281" b="-776"/>
                          <a:stretch>
                            <a:fillRect/>
                          </a:stretch>
                        </pic:blipFill>
                        <pic:spPr bwMode="auto">
                          <a:xfrm>
                            <a:off x="0" y="0"/>
                            <a:ext cx="1409065" cy="434340"/>
                          </a:xfrm>
                          <a:prstGeom prst="rect">
                            <a:avLst/>
                          </a:prstGeom>
                        </pic:spPr>
                      </pic:pic>
                    </a:graphicData>
                  </a:graphic>
                </wp:anchor>
              </w:drawing>
            </w:r>
          </w:p>
        </w:tc>
      </w:tr>
      <w:tr>
        <w:trPr>
          <w:trHeight w:val="284" w:hRule="atLeast"/>
        </w:trPr>
        <w:tc>
          <w:tcPr>
            <w:tcW w:w="2518" w:type="dxa"/>
            <w:tcBorders>
              <w:left w:val="single" w:sz="2" w:space="0" w:color="000000"/>
              <w:bottom w:val="single" w:sz="2" w:space="0" w:color="000000"/>
            </w:tcBorders>
          </w:tcPr>
          <w:p>
            <w:pPr>
              <w:pStyle w:val="Normal"/>
              <w:widowControl w:val="false"/>
              <w:overflowPunct w:val="false"/>
              <w:spacing w:before="57" w:after="57"/>
              <w:jc w:val="left"/>
              <w:textAlignment w:val="baseline"/>
              <w:rPr>
                <w:rFonts w:ascii="Arial" w:hAnsi="Arial" w:eastAsia="Times New Roman" w:cs="Arial"/>
                <w:b/>
                <w:b/>
                <w:bCs/>
                <w:color w:val="auto"/>
                <w:kern w:val="0"/>
                <w:sz w:val="22"/>
                <w:szCs w:val="22"/>
                <w:lang w:val="en-GB" w:eastAsia="en-GB" w:bidi="en-GB"/>
              </w:rPr>
            </w:pPr>
            <w:r>
              <w:rPr>
                <w:rFonts w:eastAsia="Times New Roman" w:cs="Arial" w:ascii="Arial" w:hAnsi="Arial"/>
                <w:b/>
                <w:bCs/>
                <w:color w:val="auto"/>
                <w:kern w:val="0"/>
                <w:sz w:val="22"/>
                <w:szCs w:val="22"/>
                <w:lang w:val="en-GB" w:eastAsia="en-GB" w:bidi="en-GB"/>
              </w:rPr>
              <w:t>Reviewed:1</w:t>
            </w:r>
          </w:p>
        </w:tc>
        <w:tc>
          <w:tcPr>
            <w:tcW w:w="6769" w:type="dxa"/>
            <w:tcBorders>
              <w:left w:val="single" w:sz="2" w:space="0" w:color="000000"/>
              <w:bottom w:val="single" w:sz="2" w:space="0" w:color="000000"/>
              <w:right w:val="single" w:sz="2" w:space="0" w:color="000000"/>
            </w:tcBorders>
          </w:tcPr>
          <w:p>
            <w:pPr>
              <w:pStyle w:val="Normal"/>
              <w:widowControl w:val="false"/>
              <w:overflowPunct w:val="false"/>
              <w:snapToGrid w:val="false"/>
              <w:spacing w:before="57" w:after="57"/>
              <w:jc w:val="both"/>
              <w:textAlignment w:val="baseline"/>
              <w:rPr/>
            </w:pPr>
            <w:r>
              <w:rPr>
                <w:rFonts w:eastAsia="Times New Roman" w:cs="Liberation Serif;Times New Roman" w:ascii="Liberation Serif;Times New Roman" w:hAnsi="Liberation Serif;Times New Roman"/>
                <w:b w:val="false"/>
                <w:bCs w:val="false"/>
                <w:color w:val="auto"/>
                <w:sz w:val="22"/>
                <w:szCs w:val="22"/>
                <w:lang w:val="en-GB" w:eastAsia="en-GB" w:bidi="en-GB"/>
              </w:rPr>
              <w:t>25/02/2021 by FMYCA</w:t>
            </w:r>
            <w:r>
              <w:rPr>
                <w:rFonts w:eastAsia="Times New Roman" w:cs="Liberation Serif;Times New Roman" w:ascii="Liberation Serif;Times New Roman" w:hAnsi="Liberation Serif;Times New Roman"/>
                <w:b/>
                <w:bCs/>
                <w:color w:val="auto"/>
                <w:sz w:val="22"/>
                <w:szCs w:val="22"/>
                <w:lang w:val="en-GB" w:eastAsia="en-GB" w:bidi="en-GB"/>
              </w:rPr>
              <w:t xml:space="preserve"> </w:t>
            </w:r>
            <w:r>
              <w:rPr>
                <w:rFonts w:eastAsia="Times New Roman" w:cs="Liberation Serif;Times New Roman" w:ascii="Liberation Serif;Times New Roman" w:hAnsi="Liberation Serif;Times New Roman"/>
                <w:b w:val="false"/>
                <w:bCs w:val="false"/>
                <w:color w:val="auto"/>
                <w:sz w:val="22"/>
                <w:szCs w:val="22"/>
                <w:lang w:val="en-GB" w:eastAsia="en-GB" w:bidi="en-GB"/>
              </w:rPr>
              <w:t>Policy</w:t>
            </w:r>
            <w:r>
              <w:rPr>
                <w:rFonts w:eastAsia="Times New Roman" w:cs="Liberation Serif;Times New Roman" w:ascii="Liberation Serif;Times New Roman" w:hAnsi="Liberation Serif;Times New Roman"/>
                <w:b/>
                <w:bCs/>
                <w:color w:val="auto"/>
                <w:sz w:val="22"/>
                <w:szCs w:val="22"/>
                <w:lang w:val="en-GB" w:eastAsia="en-GB" w:bidi="en-GB"/>
              </w:rPr>
              <w:t xml:space="preserve"> </w:t>
            </w:r>
            <w:r>
              <w:rPr>
                <w:rFonts w:eastAsia="Times New Roman" w:cs="Liberation Serif;Times New Roman" w:ascii="Liberation Serif;Times New Roman" w:hAnsi="Liberation Serif;Times New Roman"/>
                <w:b w:val="false"/>
                <w:bCs w:val="false"/>
                <w:color w:val="auto"/>
                <w:sz w:val="22"/>
                <w:szCs w:val="22"/>
                <w:lang w:val="en-GB" w:eastAsia="en-GB" w:bidi="en-GB"/>
              </w:rPr>
              <w:t>subcommittee (Peter Sykes)</w:t>
            </w:r>
          </w:p>
        </w:tc>
      </w:tr>
      <w:tr>
        <w:trPr>
          <w:trHeight w:val="284" w:hRule="atLeast"/>
        </w:trPr>
        <w:tc>
          <w:tcPr>
            <w:tcW w:w="2518" w:type="dxa"/>
            <w:tcBorders>
              <w:left w:val="single" w:sz="2" w:space="0" w:color="000000"/>
              <w:bottom w:val="single" w:sz="2" w:space="0" w:color="000000"/>
            </w:tcBorders>
          </w:tcPr>
          <w:p>
            <w:pPr>
              <w:pStyle w:val="Normal"/>
              <w:widowControl w:val="false"/>
              <w:overflowPunct w:val="false"/>
              <w:spacing w:before="57" w:after="57"/>
              <w:jc w:val="left"/>
              <w:textAlignment w:val="baseline"/>
              <w:rPr/>
            </w:pPr>
            <w:r>
              <w:rPr>
                <w:rFonts w:eastAsia="Times New Roman" w:cs="Arial" w:ascii="Arial" w:hAnsi="Arial"/>
                <w:b/>
                <w:bCs/>
                <w:color w:val="auto"/>
                <w:kern w:val="0"/>
                <w:sz w:val="22"/>
                <w:szCs w:val="22"/>
                <w:lang w:val="en-GB" w:eastAsia="en-GB" w:bidi="en-GB"/>
              </w:rPr>
              <w:t>Ratified:1</w:t>
            </w:r>
          </w:p>
        </w:tc>
        <w:tc>
          <w:tcPr>
            <w:tcW w:w="6769" w:type="dxa"/>
            <w:tcBorders>
              <w:left w:val="single" w:sz="2" w:space="0" w:color="000000"/>
              <w:bottom w:val="single" w:sz="2" w:space="0" w:color="000000"/>
              <w:right w:val="single" w:sz="2" w:space="0" w:color="000000"/>
            </w:tcBorders>
          </w:tcPr>
          <w:p>
            <w:pPr>
              <w:pStyle w:val="Normal"/>
              <w:widowControl w:val="false"/>
              <w:overflowPunct w:val="false"/>
              <w:snapToGrid w:val="false"/>
              <w:spacing w:before="57" w:after="57"/>
              <w:jc w:val="both"/>
              <w:textAlignment w:val="baseline"/>
              <w:rPr>
                <w:rFonts w:ascii="Liberation Serif;Times New Roman" w:hAnsi="Liberation Serif;Times New Roman" w:eastAsia="Times New Roman" w:cs="Liberation Serif;Times New Roman"/>
                <w:b w:val="false"/>
                <w:b w:val="false"/>
                <w:bCs w:val="false"/>
                <w:color w:val="auto"/>
                <w:sz w:val="22"/>
                <w:szCs w:val="22"/>
                <w:lang w:val="en-GB" w:eastAsia="en-GB" w:bidi="en-GB"/>
              </w:rPr>
            </w:pPr>
            <w:r>
              <w:rPr>
                <w:rFonts w:eastAsia="Times New Roman" w:cs="Liberation Serif;Times New Roman" w:ascii="Liberation Serif;Times New Roman" w:hAnsi="Liberation Serif;Times New Roman"/>
                <w:b w:val="false"/>
                <w:bCs w:val="false"/>
                <w:color w:val="auto"/>
                <w:sz w:val="22"/>
                <w:szCs w:val="22"/>
                <w:lang w:val="en-GB" w:eastAsia="en-GB" w:bidi="en-GB"/>
              </w:rPr>
              <w:t>25/03/2021 by FMYCA Management meeting</w:t>
            </w:r>
          </w:p>
        </w:tc>
      </w:tr>
      <w:tr>
        <w:trPr>
          <w:trHeight w:val="284" w:hRule="atLeast"/>
        </w:trPr>
        <w:tc>
          <w:tcPr>
            <w:tcW w:w="2518" w:type="dxa"/>
            <w:tcBorders>
              <w:left w:val="single" w:sz="2" w:space="0" w:color="000000"/>
              <w:bottom w:val="single" w:sz="2" w:space="0" w:color="000000"/>
            </w:tcBorders>
          </w:tcPr>
          <w:p>
            <w:pPr>
              <w:pStyle w:val="Normal"/>
              <w:widowControl w:val="false"/>
              <w:overflowPunct w:val="false"/>
              <w:spacing w:before="57" w:after="57"/>
              <w:jc w:val="both"/>
              <w:textAlignment w:val="baseline"/>
              <w:rPr/>
            </w:pPr>
            <w:r>
              <w:rPr>
                <w:rFonts w:eastAsia="Times New Roman" w:cs="Arial" w:ascii="Arial" w:hAnsi="Arial"/>
                <w:b/>
                <w:bCs/>
                <w:color w:val="auto"/>
                <w:kern w:val="0"/>
                <w:sz w:val="22"/>
                <w:szCs w:val="22"/>
                <w:lang w:val="en-GB" w:eastAsia="en-GB" w:bidi="en-GB"/>
              </w:rPr>
              <w:t>Reviewed:2</w:t>
            </w:r>
          </w:p>
        </w:tc>
        <w:tc>
          <w:tcPr>
            <w:tcW w:w="6769" w:type="dxa"/>
            <w:tcBorders>
              <w:left w:val="single" w:sz="2" w:space="0" w:color="000000"/>
              <w:bottom w:val="single" w:sz="2" w:space="0" w:color="000000"/>
              <w:right w:val="single" w:sz="2" w:space="0" w:color="000000"/>
            </w:tcBorders>
          </w:tcPr>
          <w:p>
            <w:pPr>
              <w:pStyle w:val="Normal"/>
              <w:widowControl w:val="false"/>
              <w:overflowPunct w:val="false"/>
              <w:snapToGrid w:val="false"/>
              <w:spacing w:before="57" w:after="57"/>
              <w:jc w:val="both"/>
              <w:textAlignment w:val="baseline"/>
              <w:rPr/>
            </w:pPr>
            <w:r>
              <w:rPr>
                <w:rFonts w:eastAsia="Times New Roman" w:cs="Liberation Serif;Times New Roman" w:ascii="Liberation Serif;Times New Roman" w:hAnsi="Liberation Serif;Times New Roman"/>
                <w:b w:val="false"/>
                <w:bCs w:val="false"/>
                <w:color w:val="auto"/>
                <w:sz w:val="22"/>
                <w:szCs w:val="22"/>
                <w:lang w:val="en-GB" w:eastAsia="en-GB" w:bidi="en-GB"/>
              </w:rPr>
              <w:t>25/02/2022 by FMYCA</w:t>
            </w:r>
            <w:r>
              <w:rPr>
                <w:rFonts w:eastAsia="Times New Roman" w:cs="Liberation Serif;Times New Roman" w:ascii="Liberation Serif;Times New Roman" w:hAnsi="Liberation Serif;Times New Roman"/>
                <w:b/>
                <w:bCs/>
                <w:color w:val="auto"/>
                <w:sz w:val="22"/>
                <w:szCs w:val="22"/>
                <w:lang w:val="en-GB" w:eastAsia="en-GB" w:bidi="en-GB"/>
              </w:rPr>
              <w:t xml:space="preserve"> </w:t>
            </w:r>
            <w:r>
              <w:rPr>
                <w:rFonts w:eastAsia="Times New Roman" w:cs="Liberation Serif;Times New Roman" w:ascii="Liberation Serif;Times New Roman" w:hAnsi="Liberation Serif;Times New Roman"/>
                <w:b w:val="false"/>
                <w:bCs w:val="false"/>
                <w:color w:val="auto"/>
                <w:sz w:val="22"/>
                <w:szCs w:val="22"/>
                <w:lang w:val="en-GB" w:eastAsia="en-GB" w:bidi="en-GB"/>
              </w:rPr>
              <w:t>Policy</w:t>
            </w:r>
            <w:r>
              <w:rPr>
                <w:rFonts w:eastAsia="Times New Roman" w:cs="Liberation Serif;Times New Roman" w:ascii="Liberation Serif;Times New Roman" w:hAnsi="Liberation Serif;Times New Roman"/>
                <w:b/>
                <w:bCs/>
                <w:color w:val="auto"/>
                <w:sz w:val="22"/>
                <w:szCs w:val="22"/>
                <w:lang w:val="en-GB" w:eastAsia="en-GB" w:bidi="en-GB"/>
              </w:rPr>
              <w:t xml:space="preserve"> </w:t>
            </w:r>
            <w:r>
              <w:rPr>
                <w:rFonts w:eastAsia="Times New Roman" w:cs="Liberation Serif;Times New Roman" w:ascii="Liberation Serif;Times New Roman" w:hAnsi="Liberation Serif;Times New Roman"/>
                <w:b w:val="false"/>
                <w:bCs w:val="false"/>
                <w:color w:val="auto"/>
                <w:sz w:val="22"/>
                <w:szCs w:val="22"/>
                <w:lang w:val="en-GB" w:eastAsia="en-GB" w:bidi="en-GB"/>
              </w:rPr>
              <w:t>subcommittee (</w:t>
            </w:r>
            <w:r>
              <w:rPr>
                <w:rFonts w:eastAsia="Times New Roman" w:cs="Liberation Serif;Times New Roman" w:ascii="Liberation Serif;Times New Roman" w:hAnsi="Liberation Serif;Times New Roman"/>
                <w:b w:val="false"/>
                <w:bCs w:val="false"/>
                <w:color w:val="auto"/>
                <w:sz w:val="22"/>
                <w:szCs w:val="22"/>
                <w:lang w:val="en-GB" w:eastAsia="en-GB" w:bidi="en-GB"/>
              </w:rPr>
              <w:t xml:space="preserve">Chair - </w:t>
            </w:r>
            <w:r>
              <w:rPr>
                <w:rFonts w:eastAsia="Times New Roman" w:cs="Liberation Serif;Times New Roman" w:ascii="Liberation Serif;Times New Roman" w:hAnsi="Liberation Serif;Times New Roman"/>
                <w:b w:val="false"/>
                <w:bCs w:val="false"/>
                <w:color w:val="auto"/>
                <w:sz w:val="22"/>
                <w:szCs w:val="22"/>
                <w:lang w:val="en-GB" w:eastAsia="en-GB" w:bidi="en-GB"/>
              </w:rPr>
              <w:t>Peter Sykes)</w:t>
            </w:r>
          </w:p>
        </w:tc>
      </w:tr>
      <w:tr>
        <w:trPr>
          <w:trHeight w:val="284" w:hRule="atLeast"/>
        </w:trPr>
        <w:tc>
          <w:tcPr>
            <w:tcW w:w="2518" w:type="dxa"/>
            <w:tcBorders>
              <w:left w:val="single" w:sz="2" w:space="0" w:color="000000"/>
              <w:bottom w:val="single" w:sz="2" w:space="0" w:color="000000"/>
            </w:tcBorders>
          </w:tcPr>
          <w:p>
            <w:pPr>
              <w:pStyle w:val="Normal"/>
              <w:widowControl w:val="false"/>
              <w:overflowPunct w:val="false"/>
              <w:spacing w:before="57" w:after="57"/>
              <w:jc w:val="both"/>
              <w:textAlignment w:val="baseline"/>
              <w:rPr/>
            </w:pPr>
            <w:r>
              <w:rPr>
                <w:rFonts w:eastAsia="Times New Roman" w:cs="Arial" w:ascii="Arial" w:hAnsi="Arial"/>
                <w:b/>
                <w:bCs/>
                <w:color w:val="auto"/>
                <w:kern w:val="0"/>
                <w:sz w:val="22"/>
                <w:szCs w:val="22"/>
                <w:lang w:val="en-GB" w:eastAsia="en-GB" w:bidi="en-GB"/>
              </w:rPr>
              <w:t>Ratified:2</w:t>
            </w:r>
          </w:p>
        </w:tc>
        <w:tc>
          <w:tcPr>
            <w:tcW w:w="6769" w:type="dxa"/>
            <w:tcBorders>
              <w:left w:val="single" w:sz="2" w:space="0" w:color="000000"/>
              <w:bottom w:val="single" w:sz="2" w:space="0" w:color="000000"/>
              <w:right w:val="single" w:sz="2" w:space="0" w:color="000000"/>
            </w:tcBorders>
          </w:tcPr>
          <w:p>
            <w:pPr>
              <w:pStyle w:val="Normal"/>
              <w:widowControl w:val="false"/>
              <w:overflowPunct w:val="false"/>
              <w:snapToGrid w:val="false"/>
              <w:spacing w:before="57" w:after="57"/>
              <w:jc w:val="both"/>
              <w:textAlignment w:val="baseline"/>
              <w:rPr>
                <w:rFonts w:ascii="Liberation Serif;Times New Roman" w:hAnsi="Liberation Serif;Times New Roman" w:eastAsia="Times New Roman" w:cs="Liberation Serif;Times New Roman"/>
                <w:b w:val="false"/>
                <w:b w:val="false"/>
                <w:bCs w:val="false"/>
                <w:color w:val="auto"/>
                <w:sz w:val="22"/>
                <w:szCs w:val="22"/>
                <w:lang w:val="en-GB" w:eastAsia="en-GB" w:bidi="en-GB"/>
              </w:rPr>
            </w:pPr>
            <w:r>
              <w:rPr>
                <w:rFonts w:eastAsia="Times New Roman" w:cs="Liberation Serif;Times New Roman" w:ascii="Liberation Serif;Times New Roman" w:hAnsi="Liberation Serif;Times New Roman"/>
                <w:b w:val="false"/>
                <w:bCs w:val="false"/>
                <w:color w:val="auto"/>
                <w:sz w:val="22"/>
                <w:szCs w:val="22"/>
                <w:lang w:val="en-GB" w:eastAsia="en-GB" w:bidi="en-GB"/>
              </w:rPr>
              <w:t>2</w:t>
            </w:r>
            <w:r>
              <w:rPr>
                <w:rFonts w:eastAsia="Times New Roman" w:cs="Liberation Serif;Times New Roman" w:ascii="Liberation Serif;Times New Roman" w:hAnsi="Liberation Serif;Times New Roman"/>
                <w:b w:val="false"/>
                <w:bCs w:val="false"/>
                <w:color w:val="auto"/>
                <w:sz w:val="22"/>
                <w:szCs w:val="22"/>
                <w:lang w:val="en-GB" w:eastAsia="en-GB" w:bidi="en-GB"/>
              </w:rPr>
              <w:t>4</w:t>
            </w:r>
            <w:r>
              <w:rPr>
                <w:rFonts w:eastAsia="Times New Roman" w:cs="Liberation Serif;Times New Roman" w:ascii="Liberation Serif;Times New Roman" w:hAnsi="Liberation Serif;Times New Roman"/>
                <w:b w:val="false"/>
                <w:bCs w:val="false"/>
                <w:color w:val="auto"/>
                <w:sz w:val="22"/>
                <w:szCs w:val="22"/>
                <w:lang w:val="en-GB" w:eastAsia="en-GB" w:bidi="en-GB"/>
              </w:rPr>
              <w:t>/03/2021 by FMYCA Management meeting</w:t>
            </w:r>
          </w:p>
        </w:tc>
      </w:tr>
    </w:tbl>
    <w:p>
      <w:pPr>
        <w:pStyle w:val="Normal"/>
        <w:widowControl w:val="false"/>
        <w:overflowPunct w:val="false"/>
        <w:autoSpaceDE w:val="false"/>
        <w:spacing w:lineRule="auto" w:line="240" w:before="0" w:after="0"/>
        <w:jc w:val="both"/>
        <w:textAlignment w:val="baseline"/>
        <w:rPr>
          <w:rFonts w:ascii="Arial" w:hAnsi="Arial" w:eastAsia="Times New Roman" w:cs="Arial"/>
          <w:szCs w:val="20"/>
        </w:rPr>
      </w:pPr>
      <w:r>
        <w:rPr>
          <w:rFonts w:eastAsia="Times New Roman" w:cs="Arial" w:ascii="Arial" w:hAnsi="Arial"/>
          <w:szCs w:val="20"/>
        </w:rPr>
      </w:r>
    </w:p>
    <w:p>
      <w:pPr>
        <w:pStyle w:val="Normal"/>
        <w:spacing w:before="0" w:after="160"/>
        <w:rPr>
          <w:rFonts w:ascii="Arial" w:hAnsi="Arial" w:eastAsia="Times New Roman" w:cs="Arial"/>
          <w:szCs w:val="20"/>
        </w:rPr>
      </w:pPr>
      <w:r>
        <w:rPr>
          <w:rFonts w:eastAsia="Times New Roman" w:cs="Arial" w:ascii="Arial" w:hAnsi="Arial"/>
          <w:szCs w:val="20"/>
        </w:rPr>
      </w:r>
    </w:p>
    <w:sectPr>
      <w:footerReference w:type="default" r:id="rId3"/>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Arial" w:ascii="Arial" w:hAnsi="Arial"/>
        <w:sz w:val="14"/>
        <w:szCs w:val="16"/>
      </w:rPr>
      <w:t xml:space="preserve">Page </w:t>
    </w:r>
    <w:r>
      <w:rPr>
        <w:rFonts w:cs="Arial" w:ascii="Arial" w:hAnsi="Arial"/>
        <w:sz w:val="14"/>
        <w:szCs w:val="16"/>
      </w:rPr>
      <w:fldChar w:fldCharType="begin"/>
    </w:r>
    <w:r>
      <w:rPr>
        <w:sz w:val="14"/>
        <w:szCs w:val="16"/>
        <w:rFonts w:cs="Arial" w:ascii="Arial" w:hAnsi="Arial"/>
      </w:rPr>
      <w:instrText> PAGE </w:instrText>
    </w:r>
    <w:r>
      <w:rPr>
        <w:sz w:val="14"/>
        <w:szCs w:val="16"/>
        <w:rFonts w:cs="Arial" w:ascii="Arial" w:hAnsi="Arial"/>
      </w:rPr>
      <w:fldChar w:fldCharType="separate"/>
    </w:r>
    <w:r>
      <w:rPr>
        <w:sz w:val="14"/>
        <w:szCs w:val="16"/>
        <w:rFonts w:cs="Arial" w:ascii="Arial" w:hAnsi="Arial"/>
      </w:rPr>
      <w:t>1</w:t>
    </w:r>
    <w:r>
      <w:rPr>
        <w:sz w:val="14"/>
        <w:szCs w:val="16"/>
        <w:rFonts w:cs="Arial" w:ascii="Arial" w:hAnsi="Arial"/>
      </w:rPr>
      <w:fldChar w:fldCharType="end"/>
    </w:r>
    <w:r>
      <w:rPr>
        <w:rFonts w:cs="Arial" w:ascii="Arial" w:hAnsi="Arial"/>
        <w:sz w:val="14"/>
        <w:szCs w:val="16"/>
      </w:rPr>
      <w:tab/>
      <w:tab/>
      <w:t>© Simply-Docs - EMP.RE.03.06.A - Whistleblowing Policy</w:t>
      <w:tab/>
    </w:r>
    <w:r>
      <w:rPr>
        <w:rFonts w:cs="Arial"/>
        <w:sz w:val="14"/>
        <w:szCs w:val="16"/>
      </w:rPr>
      <w:tab/>
    </w:r>
  </w:p>
  <w:p>
    <w:pPr>
      <w:pStyle w:val="Normal"/>
      <w:spacing w:before="0" w:after="160"/>
      <w:rPr>
        <w:rFonts w:cs="Arial"/>
        <w:sz w:val="14"/>
        <w:szCs w:val="16"/>
      </w:rPr>
    </w:pPr>
    <w:r>
      <w:rPr>
        <w:rFonts w:cs="Arial"/>
        <w:sz w:val="14"/>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2.%1"/>
      <w:lvlJc w:val="left"/>
      <w:pPr>
        <w:tabs>
          <w:tab w:val="num" w:pos="720"/>
        </w:tabs>
        <w:ind w:left="1432" w:hanging="360"/>
      </w:pPr>
      <w:rPr>
        <w:szCs w:val="20"/>
        <w:rFonts w:ascii="Arial" w:hAnsi="Arial" w:eastAsia="Times New Roman" w:cs="Arial"/>
      </w:rPr>
    </w:lvl>
  </w:abstractNum>
  <w:abstractNum w:abstractNumId="2">
    <w:lvl w:ilvl="0">
      <w:start w:val="1"/>
      <w:numFmt w:val="decimal"/>
      <w:lvlText w:val="3.%1"/>
      <w:lvlJc w:val="left"/>
      <w:pPr>
        <w:tabs>
          <w:tab w:val="num" w:pos="720"/>
        </w:tabs>
        <w:ind w:left="1432" w:hanging="360"/>
      </w:pPr>
      <w:rPr>
        <w:szCs w:val="20"/>
        <w:rFonts w:ascii="Arial" w:hAnsi="Arial" w:eastAsia="Times New Roman" w:cs="Arial"/>
      </w:rPr>
    </w:lvl>
  </w:abstractNum>
  <w:abstractNum w:abstractNumId="3">
    <w:lvl w:ilvl="0">
      <w:start w:val="1"/>
      <w:numFmt w:val="decimal"/>
      <w:lvlText w:val="%1."/>
      <w:lvlJc w:val="left"/>
      <w:pPr>
        <w:tabs>
          <w:tab w:val="num" w:pos="0"/>
        </w:tabs>
        <w:ind w:left="363"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pPr>
    <w:rPr>
      <w:rFonts w:ascii="Calibri" w:hAnsi="Calibri" w:eastAsia="Calibri" w:cs="Times New Roman"/>
      <w:color w:val="auto"/>
      <w:sz w:val="22"/>
      <w:szCs w:val="22"/>
      <w:lang w:val="en-GB" w:eastAsia="zh-CN" w:bidi="ar-SA"/>
    </w:rPr>
  </w:style>
  <w:style w:type="character" w:styleId="WW8Num1z0">
    <w:name w:val="WW8Num1z0"/>
    <w:qFormat/>
    <w:rPr>
      <w:rFonts w:ascii="Arial" w:hAnsi="Arial" w:eastAsia="Times New Roman" w:cs="Arial"/>
      <w:szCs w:val="20"/>
    </w:rPr>
  </w:style>
  <w:style w:type="character" w:styleId="WW8Num2z0">
    <w:name w:val="WW8Num2z0"/>
    <w:qFormat/>
    <w:rPr>
      <w:rFonts w:ascii="Arial" w:hAnsi="Arial" w:eastAsia="Times New Roman" w:cs="Arial"/>
      <w:szCs w:val="20"/>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FooterChar">
    <w:name w:val="Footer Char"/>
    <w:qFormat/>
    <w:rPr>
      <w:sz w:val="22"/>
      <w:szCs w:val="22"/>
    </w:rPr>
  </w:style>
  <w:style w:type="character" w:styleId="PageNumber">
    <w:name w:val="Page Number"/>
    <w:rPr>
      <w:sz w:val="20"/>
    </w:rPr>
  </w:style>
  <w:style w:type="character" w:styleId="HeaderChar">
    <w:name w:val="Header Char"/>
    <w:qFormat/>
    <w:rPr>
      <w:sz w:val="22"/>
      <w:szCs w:val="22"/>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513" w:leader="none"/>
        <w:tab w:val="right" w:pos="9026" w:leader="none"/>
      </w:tabs>
    </w:pPr>
    <w:rPr/>
  </w:style>
  <w:style w:type="paragraph" w:styleId="Header">
    <w:name w:val="Header"/>
    <w:basedOn w:val="Normal"/>
    <w:pPr>
      <w:tabs>
        <w:tab w:val="clear" w:pos="720"/>
        <w:tab w:val="center" w:pos="4513" w:leader="none"/>
        <w:tab w:val="right" w:pos="902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134</TotalTime>
  <Application>LibreOffice/7.1.8.1$Windows_X86_64 LibreOffice_project/e1f30c802c3269a1d052614453f260e49458c82c</Application>
  <AppVersion>15.0000</AppVersion>
  <Pages>2</Pages>
  <Words>548</Words>
  <Characters>2871</Characters>
  <CharactersWithSpaces>3383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2020-08-13T10:19:00Z</dcterms:created>
  <dc:creator>Ireti Akintoye</dc:creator>
  <dc:description/>
  <dc:language>en-GB</dc:language>
  <cp:lastModifiedBy>PAS </cp:lastModifiedBy>
  <cp:lastPrinted>1995-11-21T17:41:00Z</cp:lastPrinted>
  <dcterms:modified xsi:type="dcterms:W3CDTF">2022-03-25T12:58:51Z</dcterms:modified>
  <cp:revision>16</cp:revision>
  <dc:subject/>
  <dc:title/>
</cp:coreProperties>
</file>